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8124" w14:textId="5B99EBBE" w:rsidR="00182BC4" w:rsidRPr="00841BCD" w:rsidRDefault="00182BC4" w:rsidP="00182B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#89</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41279" w:rsidRPr="00441279">
        <w:rPr>
          <w:rFonts w:ascii="Arial" w:eastAsia="SimSun" w:hAnsi="Arial" w:cs="Times New Roman"/>
          <w:b/>
          <w:bCs/>
          <w:sz w:val="24"/>
          <w:szCs w:val="20"/>
          <w:lang w:val="en-GB" w:eastAsia="ja-JP"/>
        </w:rPr>
        <w:t>R4-1901287</w:t>
      </w:r>
      <w:bookmarkStart w:id="3" w:name="_GoBack"/>
      <w:bookmarkEnd w:id="3"/>
    </w:p>
    <w:p w14:paraId="18AC2429" w14:textId="77777777" w:rsidR="00182BC4" w:rsidRPr="00841BCD" w:rsidRDefault="00182BC4" w:rsidP="00182B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 Greece, 25</w:t>
      </w:r>
      <w:r w:rsidRPr="008C5732">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Feb – 1</w:t>
      </w:r>
      <w:r w:rsidRPr="008C5732">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Mar 2019</w:t>
      </w:r>
    </w:p>
    <w:bookmarkEnd w:id="0"/>
    <w:bookmarkEnd w:id="1"/>
    <w:p w14:paraId="1EF409D2" w14:textId="77777777" w:rsidR="00182BC4" w:rsidRPr="00841BCD" w:rsidRDefault="00182BC4" w:rsidP="00182BC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329775D" w14:textId="77777777" w:rsidR="00182BC4" w:rsidRPr="00841BCD" w:rsidRDefault="00182BC4" w:rsidP="00182BC4">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8D4D57F" w14:textId="77777777" w:rsidR="00182BC4" w:rsidRPr="00841BCD" w:rsidRDefault="00182BC4" w:rsidP="00182BC4">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On RRC- and MAC-based BWP switch requirements</w:t>
      </w:r>
    </w:p>
    <w:p w14:paraId="580F3124" w14:textId="63AA4C98" w:rsidR="00182BC4" w:rsidRPr="00841BCD" w:rsidRDefault="00182BC4" w:rsidP="00182BC4">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23F42" w:rsidRPr="00223F42">
        <w:rPr>
          <w:rFonts w:ascii="Arial" w:eastAsia="MS Mincho" w:hAnsi="Arial" w:cs="Arial"/>
          <w:b/>
          <w:bCs/>
          <w:sz w:val="24"/>
          <w:szCs w:val="20"/>
          <w:lang w:val="en-GB"/>
        </w:rPr>
        <w:t>6.12.7.5.1</w:t>
      </w:r>
    </w:p>
    <w:p w14:paraId="59DD2145" w14:textId="77777777" w:rsidR="00182BC4" w:rsidRPr="00841BCD" w:rsidRDefault="00182BC4" w:rsidP="00182BC4">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3524330" w14:textId="77777777" w:rsidR="00182BC4" w:rsidRDefault="00182BC4" w:rsidP="00182BC4">
      <w:pPr>
        <w:pStyle w:val="RAN4H1"/>
      </w:pPr>
      <w:r w:rsidRPr="00AE56B1">
        <w:t>Intro</w:t>
      </w:r>
      <w:r w:rsidRPr="00AE56B1">
        <w:rPr>
          <w:rStyle w:val="RAN4H1Char"/>
        </w:rPr>
        <w:t>ductio</w:t>
      </w:r>
      <w:r w:rsidRPr="00AE56B1">
        <w:t>n</w:t>
      </w:r>
    </w:p>
    <w:p w14:paraId="55E84A39" w14:textId="6A118C9B" w:rsidR="00182BC4" w:rsidRDefault="00182BC4" w:rsidP="00182BC4">
      <w:pPr>
        <w:rPr>
          <w:lang w:val="en-GB"/>
        </w:rPr>
      </w:pPr>
      <w:r>
        <w:rPr>
          <w:lang w:val="en-GB"/>
        </w:rPr>
        <w:t>Requirements for DCI-based and timer-based BWP switch delay have been completed by RAN4, and interruption requirements for these cases are very close to final as well. In the last meeting, RAN4 approved a baseline for RRC-based BWP switch requirements, and a WF was approved in [1] to set a baseline for the discussion on the remaining work related to RRC-based and MAC-based BWP switching.</w:t>
      </w:r>
    </w:p>
    <w:p w14:paraId="4B7458FA" w14:textId="77777777" w:rsidR="00182BC4" w:rsidRPr="005C23A4" w:rsidRDefault="00182BC4" w:rsidP="00182BC4">
      <w:pPr>
        <w:rPr>
          <w:lang w:val="en-GB"/>
        </w:rPr>
      </w:pPr>
      <w:r>
        <w:rPr>
          <w:lang w:val="en-GB"/>
        </w:rPr>
        <w:t>In this contribution, we continue the discussion based on the WF and propose requirements for RRC- and MAC-based BWP switching delay and interruptions.</w:t>
      </w:r>
    </w:p>
    <w:p w14:paraId="49865AB7" w14:textId="77777777" w:rsidR="00182BC4" w:rsidRDefault="00182BC4" w:rsidP="00182BC4">
      <w:pPr>
        <w:pStyle w:val="RAN4H1"/>
      </w:pPr>
      <w:r w:rsidRPr="00AE56B1">
        <w:t>Discussion</w:t>
      </w:r>
    </w:p>
    <w:p w14:paraId="42530DE6" w14:textId="77777777" w:rsidR="00182BC4" w:rsidRPr="00CA61E7" w:rsidRDefault="00182BC4" w:rsidP="00182BC4">
      <w:pPr>
        <w:pStyle w:val="RAN4H2"/>
        <w:rPr>
          <w:lang w:val="en-GB"/>
        </w:rPr>
      </w:pPr>
      <w:r>
        <w:rPr>
          <w:lang w:val="en-GB"/>
        </w:rPr>
        <w:t>Background</w:t>
      </w:r>
    </w:p>
    <w:p w14:paraId="07490E38" w14:textId="77777777" w:rsidR="00182BC4" w:rsidRDefault="00182BC4" w:rsidP="00182BC4">
      <w:pPr>
        <w:rPr>
          <w:lang w:val="en-GB"/>
        </w:rPr>
      </w:pPr>
      <w:r w:rsidRPr="00CA61E7">
        <w:rPr>
          <w:lang w:val="en-GB"/>
        </w:rPr>
        <w:t>The contents of the agreed WF are repeated below.</w:t>
      </w:r>
    </w:p>
    <w:tbl>
      <w:tblPr>
        <w:tblStyle w:val="TableGrid"/>
        <w:tblW w:w="0" w:type="auto"/>
        <w:tblCellMar>
          <w:top w:w="284" w:type="dxa"/>
          <w:bottom w:w="113" w:type="dxa"/>
        </w:tblCellMar>
        <w:tblLook w:val="04A0" w:firstRow="1" w:lastRow="0" w:firstColumn="1" w:lastColumn="0" w:noHBand="0" w:noVBand="1"/>
      </w:tblPr>
      <w:tblGrid>
        <w:gridCol w:w="9617"/>
      </w:tblGrid>
      <w:tr w:rsidR="00182BC4" w14:paraId="44813DA3" w14:textId="77777777" w:rsidTr="00887986">
        <w:tc>
          <w:tcPr>
            <w:tcW w:w="9617" w:type="dxa"/>
          </w:tcPr>
          <w:p w14:paraId="18B32FC5" w14:textId="77777777" w:rsidR="00182BC4" w:rsidRPr="00CA61E7" w:rsidRDefault="00182BC4" w:rsidP="00887986">
            <w:pPr>
              <w:ind w:firstLine="720"/>
              <w:contextualSpacing/>
              <w:rPr>
                <w:b/>
                <w:sz w:val="18"/>
                <w:lang w:val="en-GB"/>
              </w:rPr>
            </w:pPr>
            <w:r w:rsidRPr="00CA61E7">
              <w:rPr>
                <w:b/>
                <w:sz w:val="18"/>
                <w:lang w:val="en-GB"/>
              </w:rPr>
              <w:t>Background</w:t>
            </w:r>
          </w:p>
          <w:p w14:paraId="2D3C5F9A" w14:textId="77777777" w:rsidR="00182BC4" w:rsidRPr="00CA61E7" w:rsidRDefault="00182BC4" w:rsidP="00182BC4">
            <w:pPr>
              <w:numPr>
                <w:ilvl w:val="0"/>
                <w:numId w:val="28"/>
              </w:numPr>
              <w:tabs>
                <w:tab w:val="num" w:pos="720"/>
              </w:tabs>
              <w:contextualSpacing/>
              <w:rPr>
                <w:sz w:val="18"/>
              </w:rPr>
            </w:pPr>
            <w:r w:rsidRPr="00CA61E7">
              <w:rPr>
                <w:sz w:val="18"/>
              </w:rPr>
              <w:t>RRC-based BWP switch is a mandatory feature for 6-1 capability UE in Rel-15, but before RAN4#89 meeting, RAN4 has not defined delay or interruption requirements for RRC-based BWP switch because of lacking RAN2 agreements.</w:t>
            </w:r>
          </w:p>
          <w:p w14:paraId="002C51EB" w14:textId="77777777" w:rsidR="00182BC4" w:rsidRPr="00CA61E7" w:rsidRDefault="00182BC4" w:rsidP="00182BC4">
            <w:pPr>
              <w:numPr>
                <w:ilvl w:val="0"/>
                <w:numId w:val="28"/>
              </w:numPr>
              <w:tabs>
                <w:tab w:val="num" w:pos="720"/>
              </w:tabs>
              <w:contextualSpacing/>
              <w:rPr>
                <w:sz w:val="18"/>
              </w:rPr>
            </w:pPr>
            <w:r w:rsidRPr="00CA61E7">
              <w:rPr>
                <w:noProof/>
                <w:sz w:val="18"/>
              </w:rPr>
              <w:drawing>
                <wp:anchor distT="0" distB="0" distL="114300" distR="114300" simplePos="0" relativeHeight="251660288" behindDoc="0" locked="0" layoutInCell="1" allowOverlap="1" wp14:anchorId="3D3F0613" wp14:editId="35D8D8CD">
                  <wp:simplePos x="0" y="0"/>
                  <wp:positionH relativeFrom="margin">
                    <wp:align>center</wp:align>
                  </wp:positionH>
                  <wp:positionV relativeFrom="paragraph">
                    <wp:posOffset>365808</wp:posOffset>
                  </wp:positionV>
                  <wp:extent cx="4433570" cy="2580005"/>
                  <wp:effectExtent l="0" t="0" r="5080" b="0"/>
                  <wp:wrapTopAndBottom/>
                  <wp:docPr id="1" name="Picture 3">
                    <a:extLst xmlns:a="http://schemas.openxmlformats.org/drawingml/2006/main">
                      <a:ext uri="{FF2B5EF4-FFF2-40B4-BE49-F238E27FC236}">
                        <a16:creationId xmlns:a16="http://schemas.microsoft.com/office/drawing/2014/main" id="{6013D905-A86A-4288-A972-DBB7F333CC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013D905-A86A-4288-A972-DBB7F333CC7D}"/>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433570" cy="2580005"/>
                          </a:xfrm>
                          <a:prstGeom prst="rect">
                            <a:avLst/>
                          </a:prstGeom>
                        </pic:spPr>
                      </pic:pic>
                    </a:graphicData>
                  </a:graphic>
                  <wp14:sizeRelH relativeFrom="margin">
                    <wp14:pctWidth>0</wp14:pctWidth>
                  </wp14:sizeRelH>
                  <wp14:sizeRelV relativeFrom="margin">
                    <wp14:pctHeight>0</wp14:pctHeight>
                  </wp14:sizeRelV>
                </wp:anchor>
              </w:drawing>
            </w:r>
            <w:r w:rsidRPr="00CA61E7">
              <w:rPr>
                <w:sz w:val="18"/>
              </w:rPr>
              <w:t>In 3GPP TSG-RAN WG2 Meeting #104, RAN2 has sent an LS to RAN4 in R4-1816420 concerning RRC- and MAC-based BWP switch. The contents of the LS are repeated below:</w:t>
            </w:r>
          </w:p>
          <w:p w14:paraId="3F4F55F9" w14:textId="77777777" w:rsidR="00182BC4" w:rsidRDefault="00182BC4" w:rsidP="00887986">
            <w:pPr>
              <w:contextualSpacing/>
              <w:rPr>
                <w:b/>
                <w:sz w:val="18"/>
                <w:lang w:val="en-GB"/>
              </w:rPr>
            </w:pPr>
          </w:p>
          <w:p w14:paraId="61A214BD" w14:textId="77777777" w:rsidR="00182BC4" w:rsidRPr="00CA61E7" w:rsidRDefault="00182BC4" w:rsidP="00887986">
            <w:pPr>
              <w:ind w:left="720"/>
              <w:contextualSpacing/>
              <w:rPr>
                <w:b/>
                <w:sz w:val="18"/>
                <w:lang w:val="en-GB"/>
              </w:rPr>
            </w:pPr>
            <w:r w:rsidRPr="00CA61E7">
              <w:rPr>
                <w:b/>
                <w:sz w:val="18"/>
                <w:lang w:val="en-GB"/>
              </w:rPr>
              <w:t>Total RRC-based BWP switch delay</w:t>
            </w:r>
          </w:p>
          <w:p w14:paraId="22027260" w14:textId="77777777" w:rsidR="00182BC4" w:rsidRPr="00CA61E7" w:rsidRDefault="00182BC4" w:rsidP="00182BC4">
            <w:pPr>
              <w:numPr>
                <w:ilvl w:val="0"/>
                <w:numId w:val="22"/>
              </w:numPr>
              <w:tabs>
                <w:tab w:val="clear" w:pos="720"/>
                <w:tab w:val="num" w:pos="2160"/>
              </w:tabs>
              <w:ind w:left="1440"/>
              <w:contextualSpacing/>
              <w:rPr>
                <w:sz w:val="18"/>
              </w:rPr>
            </w:pPr>
            <w:r w:rsidRPr="00CA61E7">
              <w:rPr>
                <w:noProof/>
                <w:sz w:val="18"/>
              </w:rPr>
              <w:lastRenderedPageBreak/>
              <mc:AlternateContent>
                <mc:Choice Requires="wpg">
                  <w:drawing>
                    <wp:anchor distT="0" distB="0" distL="114300" distR="114300" simplePos="0" relativeHeight="251659264" behindDoc="0" locked="0" layoutInCell="1" allowOverlap="1" wp14:anchorId="5B01F867" wp14:editId="75A36FA4">
                      <wp:simplePos x="0" y="0"/>
                      <wp:positionH relativeFrom="column">
                        <wp:posOffset>820228</wp:posOffset>
                      </wp:positionH>
                      <wp:positionV relativeFrom="paragraph">
                        <wp:posOffset>587854</wp:posOffset>
                      </wp:positionV>
                      <wp:extent cx="4131526" cy="1571625"/>
                      <wp:effectExtent l="0" t="38100" r="2540" b="0"/>
                      <wp:wrapTopAndBottom/>
                      <wp:docPr id="4" name="Group 3">
                        <a:extLst xmlns:a="http://schemas.openxmlformats.org/drawingml/2006/main">
                          <a:ext uri="{FF2B5EF4-FFF2-40B4-BE49-F238E27FC236}">
                            <a16:creationId xmlns:a16="http://schemas.microsoft.com/office/drawing/2014/main" id="{FBFA7A2A-C9A4-42ED-A484-CB2445A8F0E0}"/>
                          </a:ext>
                        </a:extLst>
                      </wp:docPr>
                      <wp:cNvGraphicFramePr/>
                      <a:graphic xmlns:a="http://schemas.openxmlformats.org/drawingml/2006/main">
                        <a:graphicData uri="http://schemas.microsoft.com/office/word/2010/wordprocessingGroup">
                          <wpg:wgp>
                            <wpg:cNvGrpSpPr/>
                            <wpg:grpSpPr>
                              <a:xfrm>
                                <a:off x="0" y="0"/>
                                <a:ext cx="4131526" cy="1571625"/>
                                <a:chOff x="-36841" y="0"/>
                                <a:chExt cx="4411109" cy="1810753"/>
                              </a:xfrm>
                            </wpg:grpSpPr>
                            <wps:wsp>
                              <wps:cNvPr id="2" name="Straight Arrow Connector 2">
                                <a:extLst>
                                  <a:ext uri="{FF2B5EF4-FFF2-40B4-BE49-F238E27FC236}">
                                    <a16:creationId xmlns:a16="http://schemas.microsoft.com/office/drawing/2014/main" id="{DCB34538-346C-4CE2-A664-570BB00AD67A}"/>
                                  </a:ext>
                                </a:extLst>
                              </wps:cNvPr>
                              <wps:cNvCnPr>
                                <a:cxnSpLocks/>
                              </wps:cNvCnPr>
                              <wps:spPr>
                                <a:xfrm>
                                  <a:off x="512956" y="0"/>
                                  <a:ext cx="0" cy="1293387"/>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3" name="Straight Arrow Connector 3">
                                <a:extLst>
                                  <a:ext uri="{FF2B5EF4-FFF2-40B4-BE49-F238E27FC236}">
                                    <a16:creationId xmlns:a16="http://schemas.microsoft.com/office/drawing/2014/main" id="{AA235524-3F0A-415D-841E-9B98F1632C53}"/>
                                  </a:ext>
                                </a:extLst>
                              </wps:cNvPr>
                              <wps:cNvCnPr>
                                <a:cxnSpLocks/>
                              </wps:cNvCnPr>
                              <wps:spPr>
                                <a:xfrm>
                                  <a:off x="512956" y="1293387"/>
                                  <a:ext cx="2065764" cy="0"/>
                                </a:xfrm>
                                <a:prstGeom prst="straightConnector1">
                                  <a:avLst/>
                                </a:prstGeom>
                                <a:ln>
                                  <a:headEnd type="triangle"/>
                                  <a:tailEnd type="triangle"/>
                                </a:ln>
                              </wps:spPr>
                              <wps:style>
                                <a:lnRef idx="3">
                                  <a:schemeClr val="dk1"/>
                                </a:lnRef>
                                <a:fillRef idx="0">
                                  <a:schemeClr val="dk1"/>
                                </a:fillRef>
                                <a:effectRef idx="2">
                                  <a:schemeClr val="dk1"/>
                                </a:effectRef>
                                <a:fontRef idx="minor">
                                  <a:schemeClr val="tx1"/>
                                </a:fontRef>
                              </wps:style>
                              <wps:bodyPr/>
                            </wps:wsp>
                            <wps:wsp>
                              <wps:cNvPr id="5" name="Straight Arrow Connector 5">
                                <a:extLst>
                                  <a:ext uri="{FF2B5EF4-FFF2-40B4-BE49-F238E27FC236}">
                                    <a16:creationId xmlns:a16="http://schemas.microsoft.com/office/drawing/2014/main" id="{ECAA2248-4A43-45A2-AB91-54779E3401C2}"/>
                                  </a:ext>
                                </a:extLst>
                              </wps:cNvPr>
                              <wps:cNvCnPr>
                                <a:cxnSpLocks/>
                              </wps:cNvCnPr>
                              <wps:spPr>
                                <a:xfrm>
                                  <a:off x="2578720" y="1293387"/>
                                  <a:ext cx="1279603" cy="2788"/>
                                </a:xfrm>
                                <a:prstGeom prst="straightConnector1">
                                  <a:avLst/>
                                </a:prstGeom>
                                <a:ln>
                                  <a:headEnd type="triangle"/>
                                  <a:tailEnd type="triangle"/>
                                </a:ln>
                              </wps:spPr>
                              <wps:style>
                                <a:lnRef idx="3">
                                  <a:schemeClr val="accent2"/>
                                </a:lnRef>
                                <a:fillRef idx="0">
                                  <a:schemeClr val="accent2"/>
                                </a:fillRef>
                                <a:effectRef idx="2">
                                  <a:schemeClr val="accent2"/>
                                </a:effectRef>
                                <a:fontRef idx="minor">
                                  <a:schemeClr val="tx1"/>
                                </a:fontRef>
                              </wps:style>
                              <wps:bodyPr/>
                            </wps:wsp>
                            <wps:wsp>
                              <wps:cNvPr id="6" name="TextBox 12">
                                <a:extLst>
                                  <a:ext uri="{FF2B5EF4-FFF2-40B4-BE49-F238E27FC236}">
                                    <a16:creationId xmlns:a16="http://schemas.microsoft.com/office/drawing/2014/main" id="{E661B141-18DA-4060-8D94-D3DCA1F8DD99}"/>
                                  </a:ext>
                                </a:extLst>
                              </wps:cNvPr>
                              <wps:cNvSpPr txBox="1"/>
                              <wps:spPr>
                                <a:xfrm>
                                  <a:off x="736104" y="1293124"/>
                                  <a:ext cx="1647825" cy="300990"/>
                                </a:xfrm>
                                <a:prstGeom prst="rect">
                                  <a:avLst/>
                                </a:prstGeom>
                                <a:noFill/>
                              </wps:spPr>
                              <wps:txbx>
                                <w:txbxContent>
                                  <w:p w14:paraId="3B45B6FC" w14:textId="77777777" w:rsidR="00182BC4" w:rsidRDefault="00182BC4" w:rsidP="00182BC4">
                                    <w:pPr>
                                      <w:pStyle w:val="NormalWeb"/>
                                      <w:spacing w:before="0" w:beforeAutospacing="0" w:after="0" w:afterAutospacing="0"/>
                                      <w:jc w:val="center"/>
                                    </w:pPr>
                                    <w:r w:rsidRPr="00CA61E7">
                                      <w:rPr>
                                        <w:rFonts w:asciiTheme="minorHAnsi" w:hAnsi="Calibri" w:cstheme="minorBidi"/>
                                        <w:color w:val="000000" w:themeColor="text1"/>
                                        <w:kern w:val="24"/>
                                        <w:sz w:val="22"/>
                                        <w:szCs w:val="27"/>
                                      </w:rPr>
                                      <w:t>RRC processing delay</w:t>
                                    </w:r>
                                  </w:p>
                                </w:txbxContent>
                              </wps:txbx>
                              <wps:bodyPr wrap="square" rtlCol="0">
                                <a:noAutofit/>
                              </wps:bodyPr>
                            </wps:wsp>
                            <wps:wsp>
                              <wps:cNvPr id="7" name="TextBox 13">
                                <a:extLst>
                                  <a:ext uri="{FF2B5EF4-FFF2-40B4-BE49-F238E27FC236}">
                                    <a16:creationId xmlns:a16="http://schemas.microsoft.com/office/drawing/2014/main" id="{0F41A667-4FEF-43F1-A33F-E24AAC2EE628}"/>
                                  </a:ext>
                                </a:extLst>
                              </wps:cNvPr>
                              <wps:cNvSpPr txBox="1"/>
                              <wps:spPr>
                                <a:xfrm>
                                  <a:off x="2578720" y="1302922"/>
                                  <a:ext cx="1279603" cy="507831"/>
                                </a:xfrm>
                                <a:prstGeom prst="rect">
                                  <a:avLst/>
                                </a:prstGeom>
                                <a:noFill/>
                              </wps:spPr>
                              <wps:txbx>
                                <w:txbxContent>
                                  <w:p w14:paraId="7C89BD2E" w14:textId="77777777" w:rsidR="00182BC4" w:rsidRPr="00CA61E7" w:rsidRDefault="00182BC4" w:rsidP="00182BC4">
                                    <w:pPr>
                                      <w:pStyle w:val="NormalWeb"/>
                                      <w:spacing w:before="0" w:beforeAutospacing="0" w:after="0" w:afterAutospacing="0"/>
                                      <w:jc w:val="center"/>
                                      <w:rPr>
                                        <w:sz w:val="20"/>
                                      </w:rPr>
                                    </w:pPr>
                                    <w:r w:rsidRPr="00CA61E7">
                                      <w:rPr>
                                        <w:rFonts w:asciiTheme="minorHAnsi" w:hAnsi="Calibri" w:cstheme="minorBidi"/>
                                        <w:color w:val="C45911" w:themeColor="accent2" w:themeShade="BF"/>
                                        <w:kern w:val="24"/>
                                        <w:sz w:val="22"/>
                                        <w:szCs w:val="27"/>
                                      </w:rPr>
                                      <w:t>BWP switch delay RRC</w:t>
                                    </w:r>
                                  </w:p>
                                </w:txbxContent>
                              </wps:txbx>
                              <wps:bodyPr wrap="square" rtlCol="0">
                                <a:noAutofit/>
                              </wps:bodyPr>
                            </wps:wsp>
                            <wps:wsp>
                              <wps:cNvPr id="8" name="Straight Arrow Connector 8">
                                <a:extLst>
                                  <a:ext uri="{FF2B5EF4-FFF2-40B4-BE49-F238E27FC236}">
                                    <a16:creationId xmlns:a16="http://schemas.microsoft.com/office/drawing/2014/main" id="{11D6678A-D6E8-427F-88DE-ECE07647B22A}"/>
                                  </a:ext>
                                </a:extLst>
                              </wps:cNvPr>
                              <wps:cNvCnPr>
                                <a:cxnSpLocks/>
                              </wps:cNvCnPr>
                              <wps:spPr>
                                <a:xfrm flipV="1">
                                  <a:off x="3858323" y="0"/>
                                  <a:ext cx="0" cy="1293388"/>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9" name="TextBox 16">
                                <a:extLst>
                                  <a:ext uri="{FF2B5EF4-FFF2-40B4-BE49-F238E27FC236}">
                                    <a16:creationId xmlns:a16="http://schemas.microsoft.com/office/drawing/2014/main" id="{1A83C6C2-BD1E-4625-996E-E1BCE325B77F}"/>
                                  </a:ext>
                                </a:extLst>
                              </wps:cNvPr>
                              <wps:cNvSpPr txBox="1"/>
                              <wps:spPr>
                                <a:xfrm>
                                  <a:off x="3278821" y="268353"/>
                                  <a:ext cx="1095447" cy="648010"/>
                                </a:xfrm>
                                <a:prstGeom prst="rect">
                                  <a:avLst/>
                                </a:prstGeom>
                                <a:solidFill>
                                  <a:schemeClr val="bg1"/>
                                </a:solidFill>
                              </wps:spPr>
                              <wps:txbx>
                                <w:txbxContent>
                                  <w:p w14:paraId="4B2B9388" w14:textId="77777777" w:rsidR="00182BC4" w:rsidRDefault="00182BC4" w:rsidP="00182BC4">
                                    <w:pPr>
                                      <w:pStyle w:val="NormalWeb"/>
                                      <w:spacing w:before="0" w:beforeAutospacing="0" w:after="0" w:afterAutospacing="0"/>
                                      <w:jc w:val="center"/>
                                    </w:pPr>
                                    <w:r>
                                      <w:rPr>
                                        <w:rFonts w:asciiTheme="minorHAnsi" w:hAnsi="Calibri" w:cstheme="minorBidi"/>
                                        <w:color w:val="2F5496" w:themeColor="accent1" w:themeShade="BF"/>
                                        <w:kern w:val="24"/>
                                        <w:sz w:val="20"/>
                                        <w:szCs w:val="20"/>
                                      </w:rPr>
                                      <w:t>RRC Reconfiguration Complete</w:t>
                                    </w:r>
                                  </w:p>
                                </w:txbxContent>
                              </wps:txbx>
                              <wps:bodyPr wrap="square" rtlCol="0">
                                <a:noAutofit/>
                              </wps:bodyPr>
                            </wps:wsp>
                            <wps:wsp>
                              <wps:cNvPr id="10" name="TextBox 17">
                                <a:extLst>
                                  <a:ext uri="{FF2B5EF4-FFF2-40B4-BE49-F238E27FC236}">
                                    <a16:creationId xmlns:a16="http://schemas.microsoft.com/office/drawing/2014/main" id="{B1653859-C1EB-4260-8BA2-58141C3C2E27}"/>
                                  </a:ext>
                                </a:extLst>
                              </wps:cNvPr>
                              <wps:cNvSpPr txBox="1"/>
                              <wps:spPr>
                                <a:xfrm>
                                  <a:off x="-36841" y="308108"/>
                                  <a:ext cx="1169692" cy="605930"/>
                                </a:xfrm>
                                <a:prstGeom prst="rect">
                                  <a:avLst/>
                                </a:prstGeom>
                                <a:solidFill>
                                  <a:schemeClr val="bg1"/>
                                </a:solidFill>
                              </wps:spPr>
                              <wps:txbx>
                                <w:txbxContent>
                                  <w:p w14:paraId="61C7B221" w14:textId="77777777" w:rsidR="00182BC4" w:rsidRDefault="00182BC4" w:rsidP="00182BC4">
                                    <w:pPr>
                                      <w:pStyle w:val="NormalWeb"/>
                                      <w:spacing w:before="0" w:beforeAutospacing="0" w:after="0" w:afterAutospacing="0"/>
                                      <w:jc w:val="center"/>
                                    </w:pPr>
                                    <w:r>
                                      <w:rPr>
                                        <w:rFonts w:asciiTheme="minorHAnsi" w:hAnsi="Calibri" w:cstheme="minorBidi"/>
                                        <w:color w:val="2F5496" w:themeColor="accent1" w:themeShade="BF"/>
                                        <w:kern w:val="24"/>
                                        <w:sz w:val="20"/>
                                        <w:szCs w:val="20"/>
                                      </w:rPr>
                                      <w:t>RRC Reconfiguration Command</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B01F867" id="Group 3" o:spid="_x0000_s1026" style="position:absolute;left:0;text-align:left;margin-left:64.6pt;margin-top:46.3pt;width:325.3pt;height:123.75pt;z-index:251659264;mso-width-relative:margin;mso-height-relative:margin" coordorigin="-368" coordsize="44111,18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">
                      <v:shapetype id="_x0000_t32" coordsize="21600,21600" o:spt="32" o:oned="t" path="m,l21600,21600e" filled="f">
                        <v:path arrowok="t" fillok="f" o:connecttype="none"/>
                        <o:lock v:ext="edit" shapetype="t"/>
                      </v:shapetype>
                      <v:shape id="Straight Arrow Connector 2" o:spid="_x0000_s1027" type="#_x0000_t32" style="position:absolute;left:5129;width:0;height:129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" strokecolor="#4472c4 [3204]" strokeweight="1.5pt">
                        <v:stroke endarrow="block" joinstyle="miter"/>
                        <o:lock v:ext="edit" shapetype="f"/>
                      </v:shape>
                      <v:shape id="Straight Arrow Connector 3" o:spid="_x0000_s1028" type="#_x0000_t32" style="position:absolute;left:5129;top:12933;width:20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" strokecolor="black [3200]" strokeweight="1.5pt">
                        <v:stroke startarrow="block" endarrow="block" joinstyle="miter"/>
                        <o:lock v:ext="edit" shapetype="f"/>
                      </v:shape>
                      <v:shape id="Straight Arrow Connector 5" o:spid="_x0000_s1029" type="#_x0000_t32" style="position:absolute;left:25787;top:12933;width:1279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" strokecolor="#ed7d31 [3205]" strokeweight="1.5pt">
                        <v:stroke startarrow="block" endarrow="block" joinstyle="miter"/>
                        <o:lock v:ext="edit" shapetype="f"/>
                      </v:shape>
                      <v:shapetype id="_x0000_t202" coordsize="21600,21600" o:spt="202" path="m,l,21600r21600,l21600,xe">
                        <v:stroke joinstyle="miter"/>
                        <v:path gradientshapeok="t" o:connecttype="rect"/>
                      </v:shapetype>
                      <v:shape id="TextBox 12" o:spid="_x0000_s1030" type="#_x0000_t202" style="position:absolute;left:7361;top:12931;width:1647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B45B6FC" w14:textId="77777777" w:rsidR="00182BC4" w:rsidRDefault="00182BC4" w:rsidP="00182BC4">
                              <w:pPr>
                                <w:pStyle w:val="NormalWeb"/>
                                <w:spacing w:before="0" w:beforeAutospacing="0" w:after="0" w:afterAutospacing="0"/>
                                <w:jc w:val="center"/>
                              </w:pPr>
                              <w:r w:rsidRPr="00CA61E7">
                                <w:rPr>
                                  <w:rFonts w:asciiTheme="minorHAnsi" w:hAnsi="Calibri" w:cstheme="minorBidi"/>
                                  <w:color w:val="000000" w:themeColor="text1"/>
                                  <w:kern w:val="24"/>
                                  <w:sz w:val="22"/>
                                  <w:szCs w:val="27"/>
                                </w:rPr>
                                <w:t>RRC processing delay</w:t>
                              </w:r>
                            </w:p>
                          </w:txbxContent>
                        </v:textbox>
                      </v:shape>
                      <v:shape id="TextBox 13" o:spid="_x0000_s1031" type="#_x0000_t202" style="position:absolute;left:25787;top:13029;width:12796;height:5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C89BD2E" w14:textId="77777777" w:rsidR="00182BC4" w:rsidRPr="00CA61E7" w:rsidRDefault="00182BC4" w:rsidP="00182BC4">
                              <w:pPr>
                                <w:pStyle w:val="NormalWeb"/>
                                <w:spacing w:before="0" w:beforeAutospacing="0" w:after="0" w:afterAutospacing="0"/>
                                <w:jc w:val="center"/>
                                <w:rPr>
                                  <w:sz w:val="20"/>
                                </w:rPr>
                              </w:pPr>
                              <w:r w:rsidRPr="00CA61E7">
                                <w:rPr>
                                  <w:rFonts w:asciiTheme="minorHAnsi" w:hAnsi="Calibri" w:cstheme="minorBidi"/>
                                  <w:color w:val="C45911" w:themeColor="accent2" w:themeShade="BF"/>
                                  <w:kern w:val="24"/>
                                  <w:sz w:val="22"/>
                                  <w:szCs w:val="27"/>
                                </w:rPr>
                                <w:t>BWP switch delay RRC</w:t>
                              </w:r>
                            </w:p>
                          </w:txbxContent>
                        </v:textbox>
                      </v:shape>
                      <v:shape id="Straight Arrow Connector 8" o:spid="_x0000_s1032" type="#_x0000_t32" style="position:absolute;left:38583;width:0;height:129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" strokecolor="#4472c4 [3204]" strokeweight="1.5pt">
                        <v:stroke endarrow="block" joinstyle="miter"/>
                        <o:lock v:ext="edit" shapetype="f"/>
                      </v:shape>
                      <v:shape id="TextBox 16" o:spid="_x0000_s1033" type="#_x0000_t202" style="position:absolute;left:32788;top:2683;width:1095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" fillcolor="white [3212]" stroked="f">
                        <v:textbox>
                          <w:txbxContent>
                            <w:p w14:paraId="4B2B9388" w14:textId="77777777" w:rsidR="00182BC4" w:rsidRDefault="00182BC4" w:rsidP="00182BC4">
                              <w:pPr>
                                <w:pStyle w:val="NormalWeb"/>
                                <w:spacing w:before="0" w:beforeAutospacing="0" w:after="0" w:afterAutospacing="0"/>
                                <w:jc w:val="center"/>
                              </w:pPr>
                              <w:r>
                                <w:rPr>
                                  <w:rFonts w:asciiTheme="minorHAnsi" w:hAnsi="Calibri" w:cstheme="minorBidi"/>
                                  <w:color w:val="2F5496" w:themeColor="accent1" w:themeShade="BF"/>
                                  <w:kern w:val="24"/>
                                  <w:sz w:val="20"/>
                                  <w:szCs w:val="20"/>
                                </w:rPr>
                                <w:t>RRC Reconfiguration Complete</w:t>
                              </w:r>
                            </w:p>
                          </w:txbxContent>
                        </v:textbox>
                      </v:shape>
                      <v:shape id="TextBox 17" o:spid="_x0000_s1034" type="#_x0000_t202" style="position:absolute;left:-368;top:3081;width:11696;height:6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" fillcolor="white [3212]" stroked="f">
                        <v:textbox>
                          <w:txbxContent>
                            <w:p w14:paraId="61C7B221" w14:textId="77777777" w:rsidR="00182BC4" w:rsidRDefault="00182BC4" w:rsidP="00182BC4">
                              <w:pPr>
                                <w:pStyle w:val="NormalWeb"/>
                                <w:spacing w:before="0" w:beforeAutospacing="0" w:after="0" w:afterAutospacing="0"/>
                                <w:jc w:val="center"/>
                              </w:pPr>
                              <w:r>
                                <w:rPr>
                                  <w:rFonts w:asciiTheme="minorHAnsi" w:hAnsi="Calibri" w:cstheme="minorBidi"/>
                                  <w:color w:val="2F5496" w:themeColor="accent1" w:themeShade="BF"/>
                                  <w:kern w:val="24"/>
                                  <w:sz w:val="20"/>
                                  <w:szCs w:val="20"/>
                                </w:rPr>
                                <w:t>RRC Reconfiguration Command</w:t>
                              </w:r>
                            </w:p>
                          </w:txbxContent>
                        </v:textbox>
                      </v:shape>
                      <w10:wrap type="topAndBottom"/>
                    </v:group>
                  </w:pict>
                </mc:Fallback>
              </mc:AlternateContent>
            </w:r>
            <w:r w:rsidRPr="00CA61E7">
              <w:rPr>
                <w:sz w:val="18"/>
              </w:rPr>
              <w:t>Total RRC-based BWP switch delay from slot n which is the last slot containing RRC reconfiguration command to the slot n+TBD where UE can send RRC reconfiguration complete is shown in Figure 1.</w:t>
            </w:r>
          </w:p>
          <w:p w14:paraId="52EA8CF0" w14:textId="77777777" w:rsidR="00182BC4" w:rsidRPr="00CA61E7" w:rsidRDefault="00182BC4" w:rsidP="00887986">
            <w:pPr>
              <w:ind w:left="1440"/>
              <w:contextualSpacing/>
              <w:rPr>
                <w:sz w:val="18"/>
              </w:rPr>
            </w:pPr>
          </w:p>
          <w:p w14:paraId="0B2DB8A5" w14:textId="77777777" w:rsidR="00182BC4" w:rsidRPr="00CA61E7" w:rsidRDefault="00182BC4" w:rsidP="00887986">
            <w:pPr>
              <w:ind w:left="720"/>
              <w:contextualSpacing/>
              <w:jc w:val="center"/>
              <w:rPr>
                <w:i/>
                <w:sz w:val="18"/>
              </w:rPr>
            </w:pPr>
            <w:r w:rsidRPr="00CA61E7">
              <w:rPr>
                <w:i/>
                <w:sz w:val="18"/>
              </w:rPr>
              <w:t>Figure1: Total RRC-based BWP switch delay</w:t>
            </w:r>
          </w:p>
          <w:p w14:paraId="7411432B" w14:textId="77777777" w:rsidR="00182BC4" w:rsidRDefault="00182BC4" w:rsidP="00887986">
            <w:pPr>
              <w:ind w:left="1440"/>
              <w:contextualSpacing/>
              <w:rPr>
                <w:sz w:val="18"/>
              </w:rPr>
            </w:pPr>
          </w:p>
          <w:p w14:paraId="554AAF6C" w14:textId="77777777" w:rsidR="00182BC4" w:rsidRPr="00CA61E7" w:rsidRDefault="00182BC4" w:rsidP="00182BC4">
            <w:pPr>
              <w:numPr>
                <w:ilvl w:val="0"/>
                <w:numId w:val="23"/>
              </w:numPr>
              <w:tabs>
                <w:tab w:val="clear" w:pos="720"/>
                <w:tab w:val="num" w:pos="1440"/>
              </w:tabs>
              <w:ind w:left="1440"/>
              <w:contextualSpacing/>
              <w:rPr>
                <w:sz w:val="18"/>
              </w:rPr>
            </w:pPr>
            <w:r w:rsidRPr="00CA61E7">
              <w:rPr>
                <w:sz w:val="18"/>
              </w:rPr>
              <w:t>Total BWP switch delay equals T</w:t>
            </w:r>
            <w:r w:rsidRPr="00CA61E7">
              <w:rPr>
                <w:sz w:val="18"/>
                <w:vertAlign w:val="subscript"/>
              </w:rPr>
              <w:t>RRC_delay</w:t>
            </w:r>
            <w:r w:rsidRPr="00CA61E7">
              <w:rPr>
                <w:sz w:val="18"/>
              </w:rPr>
              <w:t xml:space="preserve"> + T</w:t>
            </w:r>
            <w:r w:rsidRPr="00CA61E7">
              <w:rPr>
                <w:sz w:val="18"/>
                <w:vertAlign w:val="subscript"/>
              </w:rPr>
              <w:t>BWPswitchDelayRRC</w:t>
            </w:r>
          </w:p>
          <w:p w14:paraId="2D38A42B" w14:textId="77777777" w:rsidR="00182BC4" w:rsidRPr="00CA61E7" w:rsidRDefault="00182BC4" w:rsidP="00182BC4">
            <w:pPr>
              <w:numPr>
                <w:ilvl w:val="1"/>
                <w:numId w:val="23"/>
              </w:numPr>
              <w:tabs>
                <w:tab w:val="clear" w:pos="1440"/>
                <w:tab w:val="num" w:pos="2160"/>
              </w:tabs>
              <w:ind w:left="2160"/>
              <w:contextualSpacing/>
              <w:rPr>
                <w:sz w:val="18"/>
              </w:rPr>
            </w:pPr>
            <w:r w:rsidRPr="00CA61E7">
              <w:rPr>
                <w:sz w:val="18"/>
              </w:rPr>
              <w:t>RRC processing delay T</w:t>
            </w:r>
            <w:r w:rsidRPr="00CA61E7">
              <w:rPr>
                <w:sz w:val="18"/>
                <w:vertAlign w:val="subscript"/>
              </w:rPr>
              <w:t>RRC_delay</w:t>
            </w:r>
            <w:r w:rsidRPr="00CA61E7">
              <w:rPr>
                <w:sz w:val="18"/>
              </w:rPr>
              <w:t xml:space="preserve"> will be defined by RAN2.</w:t>
            </w:r>
          </w:p>
          <w:p w14:paraId="70FEC89B" w14:textId="77777777" w:rsidR="00182BC4" w:rsidRPr="00CA61E7" w:rsidRDefault="00182BC4" w:rsidP="00182BC4">
            <w:pPr>
              <w:numPr>
                <w:ilvl w:val="1"/>
                <w:numId w:val="23"/>
              </w:numPr>
              <w:tabs>
                <w:tab w:val="clear" w:pos="1440"/>
                <w:tab w:val="num" w:pos="2160"/>
              </w:tabs>
              <w:ind w:left="2160"/>
              <w:contextualSpacing/>
              <w:rPr>
                <w:sz w:val="18"/>
              </w:rPr>
            </w:pPr>
            <w:r w:rsidRPr="00CA61E7">
              <w:rPr>
                <w:sz w:val="18"/>
              </w:rPr>
              <w:t>BWP switch delay T</w:t>
            </w:r>
            <w:r w:rsidRPr="00CA61E7">
              <w:rPr>
                <w:sz w:val="18"/>
                <w:vertAlign w:val="subscript"/>
              </w:rPr>
              <w:t xml:space="preserve">BWPswitchDelayRRC </w:t>
            </w:r>
            <w:r w:rsidRPr="00CA61E7">
              <w:rPr>
                <w:sz w:val="18"/>
              </w:rPr>
              <w:t>will be defined by RAN4. See next slide.</w:t>
            </w:r>
          </w:p>
          <w:p w14:paraId="7962CAFB" w14:textId="77777777" w:rsidR="00182BC4" w:rsidRPr="00CA61E7" w:rsidRDefault="00182BC4" w:rsidP="00182BC4">
            <w:pPr>
              <w:numPr>
                <w:ilvl w:val="0"/>
                <w:numId w:val="23"/>
              </w:numPr>
              <w:tabs>
                <w:tab w:val="clear" w:pos="720"/>
                <w:tab w:val="num" w:pos="1440"/>
              </w:tabs>
              <w:ind w:left="1440"/>
              <w:contextualSpacing/>
              <w:rPr>
                <w:sz w:val="18"/>
              </w:rPr>
            </w:pPr>
            <w:r w:rsidRPr="00CA61E7">
              <w:rPr>
                <w:sz w:val="18"/>
              </w:rPr>
              <w:t xml:space="preserve">The UL grant uncertainty for transmitting </w:t>
            </w:r>
            <w:r w:rsidRPr="00CA61E7">
              <w:rPr>
                <w:i/>
                <w:iCs/>
                <w:sz w:val="18"/>
              </w:rPr>
              <w:t xml:space="preserve">RRCReconfigurationComplete due to TA and TA_offset </w:t>
            </w:r>
            <w:r w:rsidRPr="00CA61E7">
              <w:rPr>
                <w:sz w:val="18"/>
              </w:rPr>
              <w:t>during RRC based BWP switching is FFS</w:t>
            </w:r>
          </w:p>
          <w:p w14:paraId="5E11F5F2" w14:textId="77777777" w:rsidR="00182BC4" w:rsidRDefault="00182BC4" w:rsidP="00887986">
            <w:pPr>
              <w:ind w:left="720"/>
              <w:contextualSpacing/>
              <w:rPr>
                <w:b/>
                <w:sz w:val="18"/>
              </w:rPr>
            </w:pPr>
          </w:p>
          <w:p w14:paraId="72151B01" w14:textId="77777777" w:rsidR="00182BC4" w:rsidRPr="00CA61E7" w:rsidRDefault="00182BC4" w:rsidP="00887986">
            <w:pPr>
              <w:ind w:left="720"/>
              <w:contextualSpacing/>
              <w:rPr>
                <w:b/>
                <w:sz w:val="18"/>
              </w:rPr>
            </w:pPr>
            <w:r w:rsidRPr="00CA61E7">
              <w:rPr>
                <w:b/>
                <w:sz w:val="18"/>
              </w:rPr>
              <w:t>BWP switch delay for RRC-based BWP switch</w:t>
            </w:r>
          </w:p>
          <w:p w14:paraId="2EB9EA41" w14:textId="77777777" w:rsidR="00182BC4" w:rsidRPr="00CA61E7" w:rsidRDefault="00182BC4" w:rsidP="00182BC4">
            <w:pPr>
              <w:numPr>
                <w:ilvl w:val="0"/>
                <w:numId w:val="24"/>
              </w:numPr>
              <w:tabs>
                <w:tab w:val="clear" w:pos="720"/>
                <w:tab w:val="num" w:pos="1440"/>
              </w:tabs>
              <w:ind w:left="1440"/>
              <w:contextualSpacing/>
              <w:rPr>
                <w:sz w:val="18"/>
              </w:rPr>
            </w:pPr>
            <w:r w:rsidRPr="00CA61E7">
              <w:rPr>
                <w:sz w:val="18"/>
              </w:rPr>
              <w:t>For RRC-based BWP switch, the BWP switch delay T</w:t>
            </w:r>
            <w:r w:rsidRPr="00CA61E7">
              <w:rPr>
                <w:sz w:val="18"/>
                <w:vertAlign w:val="subscript"/>
              </w:rPr>
              <w:t xml:space="preserve">BWPswitchDelayRRC </w:t>
            </w:r>
            <w:r w:rsidRPr="00CA61E7">
              <w:rPr>
                <w:sz w:val="18"/>
              </w:rPr>
              <w:t>is defined for the following two cases:</w:t>
            </w:r>
          </w:p>
          <w:p w14:paraId="2D5C80E1" w14:textId="77777777" w:rsidR="00182BC4" w:rsidRPr="00CA61E7" w:rsidRDefault="00182BC4" w:rsidP="00887986">
            <w:pPr>
              <w:ind w:left="720" w:firstLine="720"/>
              <w:contextualSpacing/>
              <w:rPr>
                <w:sz w:val="18"/>
              </w:rPr>
            </w:pPr>
            <w:r w:rsidRPr="00CA61E7">
              <w:rPr>
                <w:sz w:val="18"/>
                <w:u w:val="single"/>
              </w:rPr>
              <w:t xml:space="preserve">Case 1: </w:t>
            </w:r>
            <w:r w:rsidRPr="00CA61E7">
              <w:rPr>
                <w:sz w:val="18"/>
              </w:rPr>
              <w:t>BWP switch to another existing BWP configuration</w:t>
            </w:r>
          </w:p>
          <w:p w14:paraId="50C8F33B" w14:textId="77777777" w:rsidR="00182BC4" w:rsidRPr="00CA61E7" w:rsidRDefault="00182BC4" w:rsidP="00182BC4">
            <w:pPr>
              <w:numPr>
                <w:ilvl w:val="2"/>
                <w:numId w:val="25"/>
              </w:numPr>
              <w:tabs>
                <w:tab w:val="clear" w:pos="2160"/>
                <w:tab w:val="num" w:pos="2880"/>
              </w:tabs>
              <w:ind w:left="2880"/>
              <w:contextualSpacing/>
              <w:rPr>
                <w:sz w:val="18"/>
              </w:rPr>
            </w:pPr>
            <w:r w:rsidRPr="00CA61E7">
              <w:rPr>
                <w:sz w:val="18"/>
              </w:rPr>
              <w:t>No change to any of the existing configured BWPs</w:t>
            </w:r>
          </w:p>
          <w:p w14:paraId="482800D0" w14:textId="77777777" w:rsidR="00182BC4" w:rsidRPr="00CA61E7" w:rsidRDefault="00182BC4" w:rsidP="00887986">
            <w:pPr>
              <w:ind w:left="720" w:firstLine="720"/>
              <w:contextualSpacing/>
              <w:rPr>
                <w:sz w:val="18"/>
              </w:rPr>
            </w:pPr>
            <w:r w:rsidRPr="00CA61E7">
              <w:rPr>
                <w:sz w:val="18"/>
                <w:u w:val="single"/>
              </w:rPr>
              <w:t xml:space="preserve">Case 2: </w:t>
            </w:r>
            <w:r w:rsidRPr="00CA61E7">
              <w:rPr>
                <w:sz w:val="18"/>
              </w:rPr>
              <w:t xml:space="preserve">BWP switch to a new BWP configured by the same RRC re-configuration signaling  </w:t>
            </w:r>
          </w:p>
          <w:p w14:paraId="41B4185C" w14:textId="77777777" w:rsidR="00182BC4" w:rsidRPr="00CA61E7" w:rsidRDefault="00182BC4" w:rsidP="00182BC4">
            <w:pPr>
              <w:numPr>
                <w:ilvl w:val="2"/>
                <w:numId w:val="26"/>
              </w:numPr>
              <w:tabs>
                <w:tab w:val="clear" w:pos="2160"/>
                <w:tab w:val="num" w:pos="2880"/>
              </w:tabs>
              <w:ind w:left="2880"/>
              <w:contextualSpacing/>
              <w:rPr>
                <w:sz w:val="18"/>
              </w:rPr>
            </w:pPr>
            <w:r w:rsidRPr="00CA61E7">
              <w:rPr>
                <w:sz w:val="18"/>
              </w:rPr>
              <w:t>New BWP configurations are added and activated with different parameters to current active BWP through RRC reconfiguration</w:t>
            </w:r>
          </w:p>
          <w:p w14:paraId="3517515F" w14:textId="77777777" w:rsidR="00182BC4" w:rsidRPr="00CA61E7" w:rsidRDefault="00182BC4" w:rsidP="00182BC4">
            <w:pPr>
              <w:numPr>
                <w:ilvl w:val="0"/>
                <w:numId w:val="26"/>
              </w:numPr>
              <w:tabs>
                <w:tab w:val="clear" w:pos="720"/>
                <w:tab w:val="num" w:pos="1440"/>
              </w:tabs>
              <w:ind w:left="1440"/>
              <w:contextualSpacing/>
              <w:rPr>
                <w:sz w:val="18"/>
              </w:rPr>
            </w:pPr>
            <w:r w:rsidRPr="00CA61E7">
              <w:rPr>
                <w:sz w:val="18"/>
              </w:rPr>
              <w:t>The BWP switch delay for Cases 1 and 2 is FFS.</w:t>
            </w:r>
          </w:p>
          <w:p w14:paraId="5A997C15" w14:textId="77777777" w:rsidR="00182BC4" w:rsidRDefault="00182BC4" w:rsidP="00887986">
            <w:pPr>
              <w:ind w:left="720"/>
              <w:contextualSpacing/>
              <w:rPr>
                <w:b/>
                <w:sz w:val="18"/>
              </w:rPr>
            </w:pPr>
          </w:p>
          <w:p w14:paraId="4D3A11E9" w14:textId="77777777" w:rsidR="00182BC4" w:rsidRPr="00CA61E7" w:rsidRDefault="00182BC4" w:rsidP="00887986">
            <w:pPr>
              <w:ind w:left="720"/>
              <w:contextualSpacing/>
              <w:rPr>
                <w:b/>
                <w:sz w:val="18"/>
              </w:rPr>
            </w:pPr>
            <w:r w:rsidRPr="00CA61E7">
              <w:rPr>
                <w:b/>
                <w:sz w:val="18"/>
              </w:rPr>
              <w:t>For further study</w:t>
            </w:r>
          </w:p>
          <w:p w14:paraId="47CE0125" w14:textId="77777777" w:rsidR="00182BC4" w:rsidRPr="00CA61E7" w:rsidRDefault="00182BC4" w:rsidP="00182BC4">
            <w:pPr>
              <w:numPr>
                <w:ilvl w:val="0"/>
                <w:numId w:val="27"/>
              </w:numPr>
              <w:tabs>
                <w:tab w:val="clear" w:pos="720"/>
                <w:tab w:val="num" w:pos="1440"/>
              </w:tabs>
              <w:ind w:left="1440"/>
              <w:contextualSpacing/>
              <w:rPr>
                <w:sz w:val="18"/>
              </w:rPr>
            </w:pPr>
            <w:r w:rsidRPr="00CA61E7">
              <w:rPr>
                <w:sz w:val="18"/>
              </w:rPr>
              <w:t>RRC-based BWP switch</w:t>
            </w:r>
          </w:p>
          <w:p w14:paraId="450EB8B1" w14:textId="77777777" w:rsidR="00182BC4" w:rsidRPr="00CA61E7" w:rsidRDefault="00182BC4" w:rsidP="00182BC4">
            <w:pPr>
              <w:numPr>
                <w:ilvl w:val="1"/>
                <w:numId w:val="27"/>
              </w:numPr>
              <w:tabs>
                <w:tab w:val="clear" w:pos="1440"/>
                <w:tab w:val="num" w:pos="2160"/>
              </w:tabs>
              <w:ind w:left="2160"/>
              <w:contextualSpacing/>
              <w:rPr>
                <w:sz w:val="18"/>
              </w:rPr>
            </w:pPr>
            <w:r w:rsidRPr="00CA61E7">
              <w:rPr>
                <w:sz w:val="18"/>
              </w:rPr>
              <w:t xml:space="preserve">FFS whether to define core interruption requirements </w:t>
            </w:r>
          </w:p>
          <w:p w14:paraId="60D02661" w14:textId="77777777" w:rsidR="00182BC4" w:rsidRPr="00CA61E7" w:rsidRDefault="00182BC4" w:rsidP="00182BC4">
            <w:pPr>
              <w:numPr>
                <w:ilvl w:val="0"/>
                <w:numId w:val="27"/>
              </w:numPr>
              <w:tabs>
                <w:tab w:val="clear" w:pos="720"/>
                <w:tab w:val="num" w:pos="1440"/>
              </w:tabs>
              <w:ind w:left="1440"/>
              <w:contextualSpacing/>
              <w:rPr>
                <w:sz w:val="18"/>
              </w:rPr>
            </w:pPr>
            <w:r w:rsidRPr="00CA61E7">
              <w:rPr>
                <w:sz w:val="18"/>
              </w:rPr>
              <w:t>MAC-based BWP switch</w:t>
            </w:r>
          </w:p>
          <w:p w14:paraId="2C5D4D67" w14:textId="77777777" w:rsidR="00182BC4" w:rsidRPr="00CA61E7" w:rsidRDefault="00182BC4" w:rsidP="00182BC4">
            <w:pPr>
              <w:numPr>
                <w:ilvl w:val="1"/>
                <w:numId w:val="27"/>
              </w:numPr>
              <w:tabs>
                <w:tab w:val="clear" w:pos="1440"/>
                <w:tab w:val="num" w:pos="2160"/>
              </w:tabs>
              <w:ind w:left="2160"/>
              <w:contextualSpacing/>
              <w:rPr>
                <w:sz w:val="18"/>
              </w:rPr>
            </w:pPr>
            <w:r w:rsidRPr="00CA61E7">
              <w:rPr>
                <w:sz w:val="18"/>
              </w:rPr>
              <w:t xml:space="preserve">FFS whether to define core delay requirements </w:t>
            </w:r>
          </w:p>
          <w:p w14:paraId="126F2D0E" w14:textId="77777777" w:rsidR="00182BC4" w:rsidRPr="00CA61E7" w:rsidRDefault="00182BC4" w:rsidP="00182BC4">
            <w:pPr>
              <w:numPr>
                <w:ilvl w:val="1"/>
                <w:numId w:val="27"/>
              </w:numPr>
              <w:tabs>
                <w:tab w:val="clear" w:pos="1440"/>
                <w:tab w:val="num" w:pos="2160"/>
              </w:tabs>
              <w:ind w:left="2160"/>
              <w:contextualSpacing/>
            </w:pPr>
            <w:r w:rsidRPr="00CA61E7">
              <w:rPr>
                <w:sz w:val="18"/>
              </w:rPr>
              <w:t xml:space="preserve">FFS whether to define core interruption requirements </w:t>
            </w:r>
          </w:p>
          <w:p w14:paraId="4E20343F" w14:textId="77777777" w:rsidR="00182BC4" w:rsidRDefault="00182BC4" w:rsidP="00887986"/>
        </w:tc>
      </w:tr>
    </w:tbl>
    <w:p w14:paraId="2D266D82" w14:textId="77777777" w:rsidR="00182BC4" w:rsidRDefault="00182BC4" w:rsidP="00182BC4"/>
    <w:p w14:paraId="3643DF28" w14:textId="77777777" w:rsidR="00182BC4" w:rsidRDefault="00182BC4" w:rsidP="00182BC4">
      <w:pPr>
        <w:pStyle w:val="RAN4H2"/>
      </w:pPr>
      <w:r>
        <w:t>RRC-based BWP switch</w:t>
      </w:r>
    </w:p>
    <w:p w14:paraId="64D4CD95" w14:textId="77777777" w:rsidR="00182BC4" w:rsidRDefault="00182BC4" w:rsidP="00182BC4">
      <w:r>
        <w:t>RRC-based BWP switch delay requirements as agreed in the last meeting are the following:</w:t>
      </w:r>
    </w:p>
    <w:tbl>
      <w:tblPr>
        <w:tblStyle w:val="TableGrid"/>
        <w:tblW w:w="0" w:type="auto"/>
        <w:tblLook w:val="04A0" w:firstRow="1" w:lastRow="0" w:firstColumn="1" w:lastColumn="0" w:noHBand="0" w:noVBand="1"/>
      </w:tblPr>
      <w:tblGrid>
        <w:gridCol w:w="9617"/>
      </w:tblGrid>
      <w:tr w:rsidR="00182BC4" w14:paraId="5623D45C" w14:textId="77777777" w:rsidTr="00887986">
        <w:tc>
          <w:tcPr>
            <w:tcW w:w="9617" w:type="dxa"/>
          </w:tcPr>
          <w:p w14:paraId="52DFB4FB" w14:textId="77777777" w:rsidR="00182BC4" w:rsidRPr="004F01BC" w:rsidRDefault="00182BC4" w:rsidP="00887986">
            <w:pPr>
              <w:keepNext/>
              <w:keepLines/>
              <w:spacing w:before="120" w:after="180"/>
              <w:ind w:left="1854" w:hanging="1134"/>
              <w:outlineLvl w:val="2"/>
              <w:rPr>
                <w:rFonts w:ascii="Arial" w:eastAsia="SimSun" w:hAnsi="Arial" w:cs="Times New Roman"/>
                <w:sz w:val="28"/>
                <w:szCs w:val="20"/>
                <w:lang w:eastAsia="zh-CN"/>
              </w:rPr>
            </w:pPr>
            <w:r w:rsidRPr="004F01BC">
              <w:rPr>
                <w:rFonts w:ascii="Arial" w:eastAsia="SimSun" w:hAnsi="Arial" w:cs="Times New Roman"/>
                <w:sz w:val="28"/>
                <w:szCs w:val="20"/>
                <w:lang w:eastAsia="zh-CN"/>
              </w:rPr>
              <w:t>8.6.3</w:t>
            </w:r>
            <w:r w:rsidRPr="004F01BC">
              <w:rPr>
                <w:rFonts w:ascii="Arial" w:eastAsia="SimSun" w:hAnsi="Arial" w:cs="Times New Roman"/>
                <w:sz w:val="28"/>
                <w:szCs w:val="20"/>
                <w:lang w:eastAsia="zh-CN"/>
              </w:rPr>
              <w:tab/>
              <w:t>RRC based BWP switch delay</w:t>
            </w:r>
          </w:p>
          <w:p w14:paraId="6B2ED194" w14:textId="77777777" w:rsidR="00182BC4" w:rsidRPr="004F01BC" w:rsidRDefault="00182BC4" w:rsidP="00887986">
            <w:pPr>
              <w:spacing w:after="180"/>
              <w:ind w:left="720"/>
              <w:rPr>
                <w:rFonts w:eastAsia="SimSun" w:cs="Times New Roman"/>
                <w:szCs w:val="20"/>
                <w:lang w:eastAsia="zh-CN"/>
              </w:rPr>
            </w:pPr>
            <w:r w:rsidRPr="004F01BC">
              <w:rPr>
                <w:rFonts w:eastAsia="SimSun" w:cs="Times New Roman"/>
                <w:szCs w:val="20"/>
                <w:lang w:eastAsia="zh-CN"/>
              </w:rPr>
              <w:t>F</w:t>
            </w:r>
            <w:r w:rsidRPr="004F01BC">
              <w:rPr>
                <w:rFonts w:eastAsia="SimSun" w:cs="Times New Roman" w:hint="eastAsia"/>
                <w:szCs w:val="20"/>
                <w:lang w:eastAsia="zh-CN"/>
              </w:rPr>
              <w:t xml:space="preserve">or </w:t>
            </w:r>
            <w:r w:rsidRPr="004F01BC">
              <w:rPr>
                <w:rFonts w:eastAsia="SimSun" w:cs="Times New Roman"/>
                <w:szCs w:val="20"/>
                <w:lang w:eastAsia="zh-CN"/>
              </w:rPr>
              <w:t>RRC-based BWP switch, after the UE receives BWP switching request, UE shall be able to receive PDSCH (for DL active BWP switch) or transmit PUSCH (for UL active BWP switch) on the new BWP on the serving cell on which BWP switch occurs no later than at slot n</w:t>
            </w:r>
            <w:r>
              <w:rPr>
                <w:rFonts w:eastAsia="SimSun" w:cs="Times New Roman"/>
                <w:szCs w:val="20"/>
                <w:lang w:eastAsia="zh-CN"/>
              </w:rPr>
              <w:t xml:space="preserve"> </w:t>
            </w:r>
            <w:r w:rsidRPr="004F01BC">
              <w:rPr>
                <w:rFonts w:eastAsia="SimSun" w:cs="Times New Roman"/>
                <w:szCs w:val="20"/>
                <w:lang w:eastAsia="zh-CN"/>
              </w:rPr>
              <w:t>+ T</w:t>
            </w:r>
            <w:r w:rsidRPr="004F01BC">
              <w:rPr>
                <w:rFonts w:eastAsia="SimSun" w:cs="Times New Roman"/>
                <w:szCs w:val="20"/>
                <w:vertAlign w:val="subscript"/>
                <w:lang w:eastAsia="zh-CN"/>
              </w:rPr>
              <w:t>RRCprocessingDelay</w:t>
            </w:r>
            <w:r w:rsidRPr="004F01BC">
              <w:rPr>
                <w:rFonts w:eastAsia="SimSun" w:cs="Times New Roman"/>
                <w:szCs w:val="20"/>
                <w:lang w:eastAsia="zh-CN"/>
              </w:rPr>
              <w:t xml:space="preserve"> + T</w:t>
            </w:r>
            <w:r w:rsidRPr="004F01BC">
              <w:rPr>
                <w:rFonts w:eastAsia="SimSun" w:cs="Times New Roman"/>
                <w:szCs w:val="20"/>
                <w:vertAlign w:val="subscript"/>
                <w:lang w:eastAsia="zh-CN"/>
              </w:rPr>
              <w:t>BWPswitchDelayRRC</w:t>
            </w:r>
            <w:r w:rsidRPr="004F01BC">
              <w:rPr>
                <w:rFonts w:eastAsia="SimSun" w:cs="Times New Roman"/>
                <w:szCs w:val="20"/>
                <w:lang w:eastAsia="zh-CN"/>
              </w:rPr>
              <w:t>, where slot n is the last slot containing the RRC command, and T</w:t>
            </w:r>
            <w:r w:rsidRPr="004F01BC">
              <w:rPr>
                <w:rFonts w:eastAsia="SimSun" w:cs="Times New Roman"/>
                <w:szCs w:val="20"/>
                <w:vertAlign w:val="subscript"/>
                <w:lang w:eastAsia="zh-CN"/>
              </w:rPr>
              <w:t xml:space="preserve">RRCprocessingDelay </w:t>
            </w:r>
            <w:r w:rsidRPr="004F01BC">
              <w:rPr>
                <w:rFonts w:eastAsia="SimSun" w:cs="Times New Roman"/>
                <w:szCs w:val="20"/>
                <w:lang w:eastAsia="zh-CN"/>
              </w:rPr>
              <w:t>is the length of the RRC procedure delay in slots defined in clause 12 in TS 38.331 [2], and T</w:t>
            </w:r>
            <w:r w:rsidRPr="004F01BC">
              <w:rPr>
                <w:rFonts w:eastAsia="SimSun" w:cs="Times New Roman"/>
                <w:szCs w:val="20"/>
                <w:vertAlign w:val="subscript"/>
                <w:lang w:eastAsia="zh-CN"/>
              </w:rPr>
              <w:t>BWPswitchDelayRRC</w:t>
            </w:r>
            <w:r w:rsidRPr="004F01BC">
              <w:rPr>
                <w:rFonts w:eastAsia="SimSun" w:cs="Times New Roman"/>
                <w:szCs w:val="20"/>
                <w:lang w:eastAsia="zh-CN"/>
              </w:rPr>
              <w:t xml:space="preserve"> is the BWP switching delay for RRC based BWP switch.</w:t>
            </w:r>
          </w:p>
          <w:p w14:paraId="7E2B1725" w14:textId="77777777" w:rsidR="00182BC4" w:rsidRPr="008D1FF1" w:rsidRDefault="00182BC4" w:rsidP="00887986">
            <w:pPr>
              <w:spacing w:after="180"/>
              <w:ind w:left="720"/>
              <w:rPr>
                <w:rFonts w:eastAsia="SimSun" w:cs="Times New Roman"/>
                <w:i/>
                <w:szCs w:val="20"/>
                <w:lang w:eastAsia="zh-CN"/>
              </w:rPr>
            </w:pPr>
            <w:r w:rsidRPr="004F01BC">
              <w:rPr>
                <w:rFonts w:eastAsia="SimSun" w:cs="Times New Roman"/>
                <w:i/>
                <w:szCs w:val="20"/>
                <w:lang w:eastAsia="zh-CN"/>
              </w:rPr>
              <w:t>Editor’s Note: T</w:t>
            </w:r>
            <w:r w:rsidRPr="004F01BC">
              <w:rPr>
                <w:rFonts w:eastAsia="SimSun" w:cs="Times New Roman"/>
                <w:i/>
                <w:szCs w:val="20"/>
                <w:vertAlign w:val="subscript"/>
                <w:lang w:eastAsia="zh-CN"/>
              </w:rPr>
              <w:t xml:space="preserve">BWPswitchDelayRRC </w:t>
            </w:r>
            <w:r w:rsidRPr="004F01BC">
              <w:rPr>
                <w:rFonts w:eastAsia="SimSun" w:cs="Times New Roman"/>
                <w:i/>
                <w:szCs w:val="20"/>
                <w:lang w:eastAsia="zh-CN"/>
              </w:rPr>
              <w:t>is going to be defined for both cases: 1) BWP switch to another already configured BWP; 2) BWP switch to a newly configured BWP in the same RRC re-configuration massage. FFS whether to define delay requirements for MAC based BWP switch. The UL grant uncertainty for transmitting RRCReconfigurationComplete due to TA and TA_offset during RRC based BWP switching is FFS.</w:t>
            </w:r>
          </w:p>
        </w:tc>
      </w:tr>
    </w:tbl>
    <w:p w14:paraId="3796B93F" w14:textId="77777777" w:rsidR="00182BC4" w:rsidRDefault="00182BC4" w:rsidP="00182BC4"/>
    <w:p w14:paraId="2C4D67FA" w14:textId="5DA8A7D3" w:rsidR="00182BC4" w:rsidRDefault="00182BC4" w:rsidP="00182BC4">
      <w:pPr>
        <w:rPr>
          <w:rFonts w:eastAsia="SimSun" w:cs="Times New Roman"/>
          <w:szCs w:val="20"/>
          <w:lang w:eastAsia="zh-CN"/>
        </w:rPr>
      </w:pPr>
      <w:r>
        <w:lastRenderedPageBreak/>
        <w:t xml:space="preserve">I.e. the delay is </w:t>
      </w:r>
      <w:r w:rsidRPr="004F01BC">
        <w:rPr>
          <w:rFonts w:eastAsia="SimSun" w:cs="Times New Roman"/>
          <w:szCs w:val="20"/>
          <w:lang w:eastAsia="zh-CN"/>
        </w:rPr>
        <w:t>n</w:t>
      </w:r>
      <w:r>
        <w:rPr>
          <w:rFonts w:eastAsia="SimSun" w:cs="Times New Roman"/>
          <w:szCs w:val="20"/>
          <w:lang w:eastAsia="zh-CN"/>
        </w:rPr>
        <w:t xml:space="preserve"> </w:t>
      </w:r>
      <w:r w:rsidRPr="004F01BC">
        <w:rPr>
          <w:rFonts w:eastAsia="SimSun" w:cs="Times New Roman"/>
          <w:szCs w:val="20"/>
          <w:lang w:eastAsia="zh-CN"/>
        </w:rPr>
        <w:t>+ T</w:t>
      </w:r>
      <w:r w:rsidRPr="004F01BC">
        <w:rPr>
          <w:rFonts w:eastAsia="SimSun" w:cs="Times New Roman"/>
          <w:szCs w:val="20"/>
          <w:vertAlign w:val="subscript"/>
          <w:lang w:eastAsia="zh-CN"/>
        </w:rPr>
        <w:t>RRCprocessingDelay</w:t>
      </w:r>
      <w:r w:rsidRPr="004F01BC">
        <w:rPr>
          <w:rFonts w:eastAsia="SimSun" w:cs="Times New Roman"/>
          <w:szCs w:val="20"/>
          <w:lang w:eastAsia="zh-CN"/>
        </w:rPr>
        <w:t xml:space="preserve"> + T</w:t>
      </w:r>
      <w:r w:rsidRPr="004F01BC">
        <w:rPr>
          <w:rFonts w:eastAsia="SimSun" w:cs="Times New Roman"/>
          <w:szCs w:val="20"/>
          <w:vertAlign w:val="subscript"/>
          <w:lang w:eastAsia="zh-CN"/>
        </w:rPr>
        <w:t>BWPswitchDelayRRC</w:t>
      </w:r>
      <w:r>
        <w:rPr>
          <w:rFonts w:eastAsia="SimSun" w:cs="Times New Roman"/>
          <w:szCs w:val="20"/>
          <w:lang w:eastAsia="zh-CN"/>
        </w:rPr>
        <w:t xml:space="preserve">, where the value for </w:t>
      </w:r>
      <w:r w:rsidRPr="004F01BC">
        <w:rPr>
          <w:rFonts w:eastAsia="SimSun" w:cs="Times New Roman"/>
          <w:szCs w:val="20"/>
          <w:lang w:eastAsia="zh-CN"/>
        </w:rPr>
        <w:t>T</w:t>
      </w:r>
      <w:r w:rsidRPr="004F01BC">
        <w:rPr>
          <w:rFonts w:eastAsia="SimSun" w:cs="Times New Roman"/>
          <w:szCs w:val="20"/>
          <w:vertAlign w:val="subscript"/>
          <w:lang w:eastAsia="zh-CN"/>
        </w:rPr>
        <w:t>RRCprocessingDelay</w:t>
      </w:r>
      <w:r>
        <w:rPr>
          <w:rFonts w:eastAsia="SimSun" w:cs="Times New Roman"/>
          <w:szCs w:val="20"/>
          <w:lang w:eastAsia="zh-CN"/>
        </w:rPr>
        <w:t xml:space="preserve"> is defined in TS 38.331 by RAN2 and the </w:t>
      </w:r>
      <w:r>
        <w:t xml:space="preserve">value for </w:t>
      </w:r>
      <w:r w:rsidRPr="004F01BC">
        <w:rPr>
          <w:rFonts w:eastAsia="SimSun" w:cs="Times New Roman"/>
          <w:szCs w:val="20"/>
          <w:lang w:eastAsia="zh-CN"/>
        </w:rPr>
        <w:t>T</w:t>
      </w:r>
      <w:r w:rsidRPr="004F01BC">
        <w:rPr>
          <w:rFonts w:eastAsia="SimSun" w:cs="Times New Roman"/>
          <w:szCs w:val="20"/>
          <w:vertAlign w:val="subscript"/>
          <w:lang w:eastAsia="zh-CN"/>
        </w:rPr>
        <w:t>BWPswitchDelayRRC</w:t>
      </w:r>
      <w:r>
        <w:rPr>
          <w:rFonts w:eastAsia="SimSun" w:cs="Times New Roman"/>
          <w:szCs w:val="20"/>
          <w:lang w:eastAsia="zh-CN"/>
        </w:rPr>
        <w:t xml:space="preserve"> is still open. In the WF it was agreed that the following two cases are to be discussed:</w:t>
      </w:r>
    </w:p>
    <w:p w14:paraId="309A9D3D" w14:textId="77777777" w:rsidR="00182BC4" w:rsidRPr="00CA61E7" w:rsidRDefault="00182BC4" w:rsidP="00182BC4">
      <w:pPr>
        <w:ind w:firstLine="720"/>
        <w:contextualSpacing/>
        <w:rPr>
          <w:sz w:val="18"/>
        </w:rPr>
      </w:pPr>
      <w:r w:rsidRPr="00CA61E7">
        <w:rPr>
          <w:sz w:val="18"/>
          <w:u w:val="single"/>
        </w:rPr>
        <w:t xml:space="preserve">Case 1: </w:t>
      </w:r>
      <w:r w:rsidRPr="00CA61E7">
        <w:rPr>
          <w:sz w:val="18"/>
        </w:rPr>
        <w:t>BWP switch to another existing BWP configuration</w:t>
      </w:r>
    </w:p>
    <w:p w14:paraId="368F0893" w14:textId="77777777" w:rsidR="00182BC4" w:rsidRPr="00CA61E7" w:rsidRDefault="00182BC4" w:rsidP="00182BC4">
      <w:pPr>
        <w:numPr>
          <w:ilvl w:val="2"/>
          <w:numId w:val="25"/>
        </w:numPr>
        <w:contextualSpacing/>
        <w:rPr>
          <w:sz w:val="18"/>
        </w:rPr>
      </w:pPr>
      <w:r w:rsidRPr="00CA61E7">
        <w:rPr>
          <w:sz w:val="18"/>
        </w:rPr>
        <w:t>No change to any of the existing configured BWPs</w:t>
      </w:r>
    </w:p>
    <w:p w14:paraId="2848B9F5" w14:textId="77777777" w:rsidR="00182BC4" w:rsidRPr="00CA61E7" w:rsidRDefault="00182BC4" w:rsidP="00182BC4">
      <w:pPr>
        <w:ind w:firstLine="720"/>
        <w:contextualSpacing/>
        <w:rPr>
          <w:sz w:val="18"/>
        </w:rPr>
      </w:pPr>
      <w:r w:rsidRPr="00CA61E7">
        <w:rPr>
          <w:sz w:val="18"/>
          <w:u w:val="single"/>
        </w:rPr>
        <w:t xml:space="preserve">Case 2: </w:t>
      </w:r>
      <w:r w:rsidRPr="00CA61E7">
        <w:rPr>
          <w:sz w:val="18"/>
        </w:rPr>
        <w:t xml:space="preserve">BWP switch to a new BWP configured by the same RRC re-configuration signaling  </w:t>
      </w:r>
    </w:p>
    <w:p w14:paraId="0912BB95" w14:textId="77777777" w:rsidR="00182BC4" w:rsidRPr="00CA61E7" w:rsidRDefault="00182BC4" w:rsidP="00182BC4">
      <w:pPr>
        <w:numPr>
          <w:ilvl w:val="2"/>
          <w:numId w:val="26"/>
        </w:numPr>
        <w:contextualSpacing/>
        <w:rPr>
          <w:sz w:val="18"/>
        </w:rPr>
      </w:pPr>
      <w:r w:rsidRPr="00CA61E7">
        <w:rPr>
          <w:sz w:val="18"/>
        </w:rPr>
        <w:t>New BWP configurations are added and activated with different parameters to current active BWP through RRC reconfiguration</w:t>
      </w:r>
    </w:p>
    <w:p w14:paraId="2EB2F2DC" w14:textId="77777777" w:rsidR="00182BC4" w:rsidRDefault="00182BC4" w:rsidP="00182BC4"/>
    <w:p w14:paraId="221BB073" w14:textId="7D6AB2D9" w:rsidR="00182BC4" w:rsidRDefault="00182BC4" w:rsidP="00182BC4">
      <w:pPr>
        <w:rPr>
          <w:rFonts w:eastAsia="SimSun" w:cs="Times New Roman"/>
          <w:szCs w:val="20"/>
          <w:lang w:eastAsia="zh-CN"/>
        </w:rPr>
      </w:pPr>
      <w:r>
        <w:t xml:space="preserve">Case 1 is similar to DCI-based BWP switch, because all the BWP configurations already exist, and the UE just switches from one of them to another. Thus, the value for </w:t>
      </w:r>
      <w:r w:rsidRPr="004F01BC">
        <w:rPr>
          <w:rFonts w:eastAsia="SimSun" w:cs="Times New Roman"/>
          <w:szCs w:val="20"/>
          <w:lang w:eastAsia="zh-CN"/>
        </w:rPr>
        <w:t>T</w:t>
      </w:r>
      <w:r w:rsidRPr="004F01BC">
        <w:rPr>
          <w:rFonts w:eastAsia="SimSun" w:cs="Times New Roman"/>
          <w:szCs w:val="20"/>
          <w:vertAlign w:val="subscript"/>
          <w:lang w:eastAsia="zh-CN"/>
        </w:rPr>
        <w:t>BWPswitchDelayRRC</w:t>
      </w:r>
      <w:r>
        <w:t xml:space="preserve"> in Case 1 should at maximum be the delay defined for DCI-based BWP switching. In the last meeting it was pointed out by some companies that the delay can even be shorter, since DCI decoding does not need to be taken into account in RRC-based BWP switch. This would mean that the delay can be defined as </w:t>
      </w:r>
      <w:r w:rsidRPr="004F01BC">
        <w:rPr>
          <w:rFonts w:eastAsia="SimSun" w:cs="Times New Roman"/>
          <w:szCs w:val="20"/>
          <w:lang w:eastAsia="zh-CN"/>
        </w:rPr>
        <w:t>T</w:t>
      </w:r>
      <w:r w:rsidRPr="004F01BC">
        <w:rPr>
          <w:rFonts w:eastAsia="SimSun" w:cs="Times New Roman"/>
          <w:szCs w:val="20"/>
          <w:vertAlign w:val="subscript"/>
          <w:lang w:eastAsia="zh-CN"/>
        </w:rPr>
        <w:t>BWPswitchDelayRRC</w:t>
      </w:r>
      <w:r w:rsidRPr="004F01BC">
        <w:rPr>
          <w:rFonts w:eastAsia="SimSun" w:cs="Times New Roman"/>
          <w:szCs w:val="20"/>
          <w:lang w:eastAsia="zh-CN"/>
        </w:rPr>
        <w:t xml:space="preserve"> </w:t>
      </w:r>
      <w:r>
        <w:rPr>
          <w:rFonts w:eastAsia="SimSun" w:cs="Times New Roman"/>
          <w:szCs w:val="20"/>
          <w:lang w:eastAsia="zh-CN"/>
        </w:rPr>
        <w:t xml:space="preserve">= </w:t>
      </w:r>
      <w:r w:rsidRPr="004F01BC">
        <w:rPr>
          <w:rFonts w:eastAsia="SimSun" w:cs="Times New Roman"/>
          <w:szCs w:val="20"/>
          <w:lang w:eastAsia="zh-CN"/>
        </w:rPr>
        <w:t>T</w:t>
      </w:r>
      <w:r>
        <w:rPr>
          <w:rFonts w:eastAsia="SimSun" w:cs="Times New Roman"/>
          <w:szCs w:val="20"/>
          <w:vertAlign w:val="subscript"/>
          <w:lang w:eastAsia="zh-CN"/>
        </w:rPr>
        <w:t>BWPswitchDelay</w:t>
      </w:r>
      <w:r>
        <w:rPr>
          <w:rFonts w:eastAsia="SimSun" w:cs="Times New Roman"/>
          <w:szCs w:val="20"/>
          <w:lang w:eastAsia="zh-CN"/>
        </w:rPr>
        <w:t xml:space="preserve"> – [DCI decoding time]. </w:t>
      </w:r>
    </w:p>
    <w:p w14:paraId="1B4CED0B" w14:textId="67E754AA" w:rsidR="00182BC4" w:rsidRDefault="00182BC4" w:rsidP="00182BC4">
      <w:pPr>
        <w:rPr>
          <w:rFonts w:eastAsia="SimSun" w:cs="Times New Roman"/>
          <w:szCs w:val="20"/>
          <w:lang w:eastAsia="zh-CN"/>
        </w:rPr>
      </w:pPr>
      <w:r>
        <w:t xml:space="preserve">In the earlier meetings companies have used for example </w:t>
      </w:r>
      <w:r>
        <w:rPr>
          <w:lang w:eastAsia="x-none"/>
        </w:rPr>
        <w:t>250 us</w:t>
      </w:r>
      <w:r>
        <w:t xml:space="preserve"> [2] or 200~300us [3] as the duration of PDCCH/DCI decoding in their discussion papers on DCI-based BWP switch delay. Based on these estimations, minimum 200 us could be deducted from the delay of 600 us/2000 us that was agreed for Type1/Type2 DCI- and timer-based BWP switch. </w:t>
      </w:r>
    </w:p>
    <w:p w14:paraId="712E7A7D" w14:textId="151F6CF2" w:rsidR="00182BC4" w:rsidRDefault="00182BC4" w:rsidP="00182BC4">
      <w:pPr>
        <w:pStyle w:val="RAN4proposal"/>
      </w:pPr>
      <w:r w:rsidRPr="00182BC4">
        <w:t>T</w:t>
      </w:r>
      <w:r w:rsidRPr="00182BC4">
        <w:rPr>
          <w:vertAlign w:val="subscript"/>
        </w:rPr>
        <w:t>BWPswitchDelayRRC</w:t>
      </w:r>
      <w:r w:rsidRPr="00182BC4">
        <w:t xml:space="preserve"> </w:t>
      </w:r>
      <w:r>
        <w:t>when no new BWP configurations are added (Case 1) may be 200 us shorter than the delay defined for DCI-based BWP switch.</w:t>
      </w:r>
    </w:p>
    <w:p w14:paraId="1F1DEFCB" w14:textId="77777777" w:rsidR="00182BC4" w:rsidRDefault="00182BC4" w:rsidP="00182BC4">
      <w:r>
        <w:t>When not taking into account the possible location of DCI in the three first symbols (like was done when calculating DCI-based BWP switching delay), the delay for RRC-based BWP switch for Case 1 can be calculated as shown in Table 1.</w:t>
      </w:r>
    </w:p>
    <w:p w14:paraId="5A850541" w14:textId="77777777" w:rsidR="00182BC4" w:rsidRDefault="00182BC4" w:rsidP="00182BC4">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RRC-based BWP Switch delay for Case 1.</w:t>
      </w:r>
    </w:p>
    <w:tbl>
      <w:tblPr>
        <w:tblW w:w="2880" w:type="dxa"/>
        <w:jc w:val="center"/>
        <w:tblLook w:val="04A0" w:firstRow="1" w:lastRow="0" w:firstColumn="1" w:lastColumn="0" w:noHBand="0" w:noVBand="1"/>
      </w:tblPr>
      <w:tblGrid>
        <w:gridCol w:w="960"/>
        <w:gridCol w:w="880"/>
        <w:gridCol w:w="1040"/>
      </w:tblGrid>
      <w:tr w:rsidR="00182BC4" w:rsidRPr="00422DF3" w14:paraId="0EB51238" w14:textId="77777777" w:rsidTr="0088798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76588" w14:textId="77777777" w:rsidR="00182BC4" w:rsidRPr="00422DF3" w:rsidRDefault="00182BC4" w:rsidP="00887986">
            <w:pPr>
              <w:spacing w:after="0" w:line="240" w:lineRule="auto"/>
              <w:jc w:val="center"/>
              <w:rPr>
                <w:rFonts w:ascii="Arial" w:eastAsia="Times New Roman" w:hAnsi="Arial" w:cs="Arial"/>
                <w:color w:val="000000"/>
                <w:sz w:val="18"/>
                <w:szCs w:val="18"/>
              </w:rPr>
            </w:pP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6EE0DB"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i/>
                <w:color w:val="000000"/>
                <w:sz w:val="18"/>
                <w:szCs w:val="18"/>
              </w:rPr>
              <w:t>T</w:t>
            </w:r>
            <w:r w:rsidRPr="00422DF3">
              <w:rPr>
                <w:rFonts w:ascii="Arial" w:eastAsia="Times New Roman" w:hAnsi="Arial" w:cs="Arial"/>
                <w:i/>
                <w:color w:val="000000"/>
                <w:sz w:val="18"/>
                <w:szCs w:val="18"/>
                <w:vertAlign w:val="subscript"/>
              </w:rPr>
              <w:t>BWPswitchDelayRRC</w:t>
            </w:r>
            <w:r w:rsidRPr="00422DF3">
              <w:rPr>
                <w:rFonts w:ascii="Arial" w:eastAsia="Times New Roman" w:hAnsi="Arial" w:cs="Arial"/>
                <w:color w:val="000000"/>
                <w:sz w:val="18"/>
                <w:szCs w:val="18"/>
              </w:rPr>
              <w:t xml:space="preserve"> in slots</w:t>
            </w:r>
          </w:p>
        </w:tc>
      </w:tr>
      <w:tr w:rsidR="00182BC4" w:rsidRPr="00422DF3" w14:paraId="510432EB" w14:textId="77777777" w:rsidTr="00887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88ADF5"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SCS [kHz]</w:t>
            </w:r>
          </w:p>
        </w:tc>
        <w:tc>
          <w:tcPr>
            <w:tcW w:w="880" w:type="dxa"/>
            <w:tcBorders>
              <w:top w:val="nil"/>
              <w:left w:val="nil"/>
              <w:bottom w:val="single" w:sz="4" w:space="0" w:color="auto"/>
              <w:right w:val="single" w:sz="4" w:space="0" w:color="auto"/>
            </w:tcBorders>
            <w:shd w:val="clear" w:color="auto" w:fill="auto"/>
            <w:noWrap/>
            <w:vAlign w:val="bottom"/>
            <w:hideMark/>
          </w:tcPr>
          <w:p w14:paraId="3D867203" w14:textId="77777777" w:rsidR="00182BC4" w:rsidRDefault="00182BC4" w:rsidP="00887986">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Type 1 delay</w:t>
            </w:r>
          </w:p>
          <w:p w14:paraId="69D0A70B"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400 us</w:t>
            </w:r>
          </w:p>
        </w:tc>
        <w:tc>
          <w:tcPr>
            <w:tcW w:w="1040" w:type="dxa"/>
            <w:tcBorders>
              <w:top w:val="nil"/>
              <w:left w:val="nil"/>
              <w:bottom w:val="single" w:sz="4" w:space="0" w:color="auto"/>
              <w:right w:val="single" w:sz="4" w:space="0" w:color="auto"/>
            </w:tcBorders>
            <w:shd w:val="clear" w:color="auto" w:fill="auto"/>
            <w:noWrap/>
            <w:vAlign w:val="bottom"/>
            <w:hideMark/>
          </w:tcPr>
          <w:p w14:paraId="04A5358E" w14:textId="77777777" w:rsidR="00182BC4" w:rsidRPr="00422DF3" w:rsidRDefault="00182BC4" w:rsidP="00887986">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Type 2 delay </w:t>
            </w:r>
            <w:r w:rsidRPr="00422DF3">
              <w:rPr>
                <w:rFonts w:ascii="Arial" w:eastAsia="Times New Roman" w:hAnsi="Arial" w:cs="Arial"/>
                <w:color w:val="000000"/>
                <w:sz w:val="18"/>
                <w:szCs w:val="18"/>
              </w:rPr>
              <w:t>1800 us</w:t>
            </w:r>
          </w:p>
        </w:tc>
      </w:tr>
      <w:tr w:rsidR="00182BC4" w:rsidRPr="00422DF3" w14:paraId="5A4D24BE" w14:textId="77777777" w:rsidTr="00887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225344"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15</w:t>
            </w:r>
          </w:p>
        </w:tc>
        <w:tc>
          <w:tcPr>
            <w:tcW w:w="880" w:type="dxa"/>
            <w:tcBorders>
              <w:top w:val="nil"/>
              <w:left w:val="nil"/>
              <w:bottom w:val="single" w:sz="4" w:space="0" w:color="auto"/>
              <w:right w:val="single" w:sz="4" w:space="0" w:color="auto"/>
            </w:tcBorders>
            <w:shd w:val="clear" w:color="auto" w:fill="auto"/>
            <w:noWrap/>
            <w:vAlign w:val="bottom"/>
            <w:hideMark/>
          </w:tcPr>
          <w:p w14:paraId="24E10EC7"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1</w:t>
            </w:r>
          </w:p>
        </w:tc>
        <w:tc>
          <w:tcPr>
            <w:tcW w:w="1040" w:type="dxa"/>
            <w:tcBorders>
              <w:top w:val="nil"/>
              <w:left w:val="nil"/>
              <w:bottom w:val="single" w:sz="4" w:space="0" w:color="auto"/>
              <w:right w:val="single" w:sz="4" w:space="0" w:color="auto"/>
            </w:tcBorders>
            <w:shd w:val="clear" w:color="auto" w:fill="auto"/>
            <w:noWrap/>
            <w:vAlign w:val="bottom"/>
            <w:hideMark/>
          </w:tcPr>
          <w:p w14:paraId="6900AF2C"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2</w:t>
            </w:r>
          </w:p>
        </w:tc>
      </w:tr>
      <w:tr w:rsidR="00182BC4" w:rsidRPr="00422DF3" w14:paraId="29AC8727" w14:textId="77777777" w:rsidTr="00887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876D3B"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30</w:t>
            </w:r>
          </w:p>
        </w:tc>
        <w:tc>
          <w:tcPr>
            <w:tcW w:w="880" w:type="dxa"/>
            <w:tcBorders>
              <w:top w:val="nil"/>
              <w:left w:val="nil"/>
              <w:bottom w:val="single" w:sz="4" w:space="0" w:color="auto"/>
              <w:right w:val="single" w:sz="4" w:space="0" w:color="auto"/>
            </w:tcBorders>
            <w:shd w:val="clear" w:color="auto" w:fill="auto"/>
            <w:noWrap/>
            <w:vAlign w:val="bottom"/>
            <w:hideMark/>
          </w:tcPr>
          <w:p w14:paraId="527652F7"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1</w:t>
            </w:r>
          </w:p>
        </w:tc>
        <w:tc>
          <w:tcPr>
            <w:tcW w:w="1040" w:type="dxa"/>
            <w:tcBorders>
              <w:top w:val="nil"/>
              <w:left w:val="nil"/>
              <w:bottom w:val="single" w:sz="4" w:space="0" w:color="auto"/>
              <w:right w:val="single" w:sz="4" w:space="0" w:color="auto"/>
            </w:tcBorders>
            <w:shd w:val="clear" w:color="auto" w:fill="auto"/>
            <w:noWrap/>
            <w:vAlign w:val="bottom"/>
            <w:hideMark/>
          </w:tcPr>
          <w:p w14:paraId="2059A21A"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4</w:t>
            </w:r>
          </w:p>
        </w:tc>
      </w:tr>
      <w:tr w:rsidR="00182BC4" w:rsidRPr="00422DF3" w14:paraId="797E3AFF" w14:textId="77777777" w:rsidTr="00887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C9B67D"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60</w:t>
            </w:r>
          </w:p>
        </w:tc>
        <w:tc>
          <w:tcPr>
            <w:tcW w:w="880" w:type="dxa"/>
            <w:tcBorders>
              <w:top w:val="nil"/>
              <w:left w:val="nil"/>
              <w:bottom w:val="single" w:sz="4" w:space="0" w:color="auto"/>
              <w:right w:val="single" w:sz="4" w:space="0" w:color="auto"/>
            </w:tcBorders>
            <w:shd w:val="clear" w:color="auto" w:fill="auto"/>
            <w:noWrap/>
            <w:vAlign w:val="bottom"/>
            <w:hideMark/>
          </w:tcPr>
          <w:p w14:paraId="076AB2A7"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2</w:t>
            </w:r>
          </w:p>
        </w:tc>
        <w:tc>
          <w:tcPr>
            <w:tcW w:w="1040" w:type="dxa"/>
            <w:tcBorders>
              <w:top w:val="nil"/>
              <w:left w:val="nil"/>
              <w:bottom w:val="single" w:sz="4" w:space="0" w:color="auto"/>
              <w:right w:val="single" w:sz="4" w:space="0" w:color="auto"/>
            </w:tcBorders>
            <w:shd w:val="clear" w:color="auto" w:fill="auto"/>
            <w:noWrap/>
            <w:vAlign w:val="bottom"/>
            <w:hideMark/>
          </w:tcPr>
          <w:p w14:paraId="235470F5"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8</w:t>
            </w:r>
          </w:p>
        </w:tc>
      </w:tr>
      <w:tr w:rsidR="00182BC4" w:rsidRPr="00422DF3" w14:paraId="5E7F6834" w14:textId="77777777" w:rsidTr="0088798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AA3A3A"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120</w:t>
            </w:r>
          </w:p>
        </w:tc>
        <w:tc>
          <w:tcPr>
            <w:tcW w:w="880" w:type="dxa"/>
            <w:tcBorders>
              <w:top w:val="nil"/>
              <w:left w:val="nil"/>
              <w:bottom w:val="single" w:sz="4" w:space="0" w:color="auto"/>
              <w:right w:val="single" w:sz="4" w:space="0" w:color="auto"/>
            </w:tcBorders>
            <w:shd w:val="clear" w:color="auto" w:fill="auto"/>
            <w:noWrap/>
            <w:vAlign w:val="bottom"/>
            <w:hideMark/>
          </w:tcPr>
          <w:p w14:paraId="6F88AAFE"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4</w:t>
            </w:r>
          </w:p>
        </w:tc>
        <w:tc>
          <w:tcPr>
            <w:tcW w:w="1040" w:type="dxa"/>
            <w:tcBorders>
              <w:top w:val="nil"/>
              <w:left w:val="nil"/>
              <w:bottom w:val="single" w:sz="4" w:space="0" w:color="auto"/>
              <w:right w:val="single" w:sz="4" w:space="0" w:color="auto"/>
            </w:tcBorders>
            <w:shd w:val="clear" w:color="auto" w:fill="auto"/>
            <w:noWrap/>
            <w:vAlign w:val="bottom"/>
            <w:hideMark/>
          </w:tcPr>
          <w:p w14:paraId="6914D013" w14:textId="77777777" w:rsidR="00182BC4" w:rsidRPr="00422DF3" w:rsidRDefault="00182BC4" w:rsidP="00887986">
            <w:pPr>
              <w:spacing w:after="0" w:line="240" w:lineRule="auto"/>
              <w:jc w:val="center"/>
              <w:rPr>
                <w:rFonts w:ascii="Arial" w:eastAsia="Times New Roman" w:hAnsi="Arial" w:cs="Arial"/>
                <w:color w:val="000000"/>
                <w:sz w:val="18"/>
                <w:szCs w:val="18"/>
              </w:rPr>
            </w:pPr>
            <w:r w:rsidRPr="00422DF3">
              <w:rPr>
                <w:rFonts w:ascii="Arial" w:eastAsia="Times New Roman" w:hAnsi="Arial" w:cs="Arial"/>
                <w:color w:val="000000"/>
                <w:sz w:val="18"/>
                <w:szCs w:val="18"/>
              </w:rPr>
              <w:t>15</w:t>
            </w:r>
          </w:p>
        </w:tc>
      </w:tr>
    </w:tbl>
    <w:p w14:paraId="58CD8408" w14:textId="77777777" w:rsidR="00182BC4" w:rsidRPr="00BC2C88" w:rsidRDefault="00182BC4" w:rsidP="00182BC4"/>
    <w:p w14:paraId="5F4F0B62" w14:textId="20FC4ED9" w:rsidR="00182BC4" w:rsidRDefault="00182BC4" w:rsidP="00182BC4">
      <w:r>
        <w:t>Case2 is used when either a BWP is added to the configuration and switched to, or when the active BWP bandwidth is modified, but not when the inactive BWP configurations are modified. The delay for Case 2</w:t>
      </w:r>
      <w:r w:rsidRPr="008D1FF1">
        <w:t xml:space="preserve"> </w:t>
      </w:r>
      <w:r>
        <w:t xml:space="preserve">may need to be longer than Case 1 delay, because in Case 2 new BWP configurations are added or old BWP configurations changed. As DCI decoding delay does not need to be taken into account in this delay either and calculating the delay in slots already gives a longer delay than 600/2000 us in practice, we would propose that the same delay as for DCI-based BWP switch could be sufficient for Case 2. </w:t>
      </w:r>
    </w:p>
    <w:p w14:paraId="65669053" w14:textId="66FF3CA5" w:rsidR="00182BC4" w:rsidRPr="00182BC4" w:rsidRDefault="00182BC4" w:rsidP="00182BC4">
      <w:pPr>
        <w:pStyle w:val="RAN4proposal"/>
      </w:pPr>
      <w:r w:rsidRPr="00182BC4">
        <w:t>T</w:t>
      </w:r>
      <w:r w:rsidRPr="00182BC4">
        <w:rPr>
          <w:vertAlign w:val="subscript"/>
        </w:rPr>
        <w:t>BWPswitchDelayRRC</w:t>
      </w:r>
      <w:r>
        <w:t xml:space="preserve"> when new BWP configurations are added (Case 2) is the same as DCI-based BWP switch delay.</w:t>
      </w:r>
    </w:p>
    <w:p w14:paraId="72F8E24F" w14:textId="77777777" w:rsidR="00182BC4" w:rsidRDefault="00182BC4" w:rsidP="00182BC4">
      <w:r>
        <w:t>The delay for Case 2 would thus be as defined in Table 8.6.2-1 in TS 38.133 for DCI-based BWP switch.</w:t>
      </w:r>
    </w:p>
    <w:p w14:paraId="510EF433" w14:textId="77777777" w:rsidR="00182BC4" w:rsidRPr="003445FB" w:rsidRDefault="00182BC4" w:rsidP="00182BC4">
      <w:pPr>
        <w:pStyle w:val="TH"/>
      </w:pPr>
      <w:r w:rsidRPr="003445FB">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82BC4" w:rsidRPr="003445FB" w14:paraId="2FC540BA" w14:textId="77777777" w:rsidTr="00887986">
        <w:trPr>
          <w:trHeight w:val="305"/>
          <w:jc w:val="center"/>
        </w:trPr>
        <w:tc>
          <w:tcPr>
            <w:tcW w:w="649" w:type="dxa"/>
            <w:vMerge w:val="restart"/>
            <w:shd w:val="clear" w:color="auto" w:fill="auto"/>
            <w:vAlign w:val="center"/>
          </w:tcPr>
          <w:p w14:paraId="45BB19F9" w14:textId="77777777" w:rsidR="00182BC4" w:rsidRPr="003445FB" w:rsidRDefault="00182BC4" w:rsidP="00887986">
            <w:pPr>
              <w:pStyle w:val="TAH"/>
            </w:pPr>
            <w:r w:rsidRPr="003445FB">
              <w:rPr>
                <w:noProof/>
                <w:lang w:val="en-US" w:eastAsia="zh-CN"/>
              </w:rPr>
              <w:drawing>
                <wp:inline distT="0" distB="0" distL="0" distR="0" wp14:anchorId="19FED9D2" wp14:editId="60F70EDA">
                  <wp:extent cx="142875" cy="161925"/>
                  <wp:effectExtent l="0" t="0" r="0" b="0"/>
                  <wp:docPr id="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5E0504E" w14:textId="77777777" w:rsidR="00182BC4" w:rsidRPr="003445FB" w:rsidRDefault="00182BC4" w:rsidP="00887986">
            <w:pPr>
              <w:pStyle w:val="TAH"/>
            </w:pPr>
            <w:r w:rsidRPr="003445FB">
              <w:t>NR Slot length (ms)</w:t>
            </w:r>
          </w:p>
        </w:tc>
        <w:tc>
          <w:tcPr>
            <w:tcW w:w="3938" w:type="dxa"/>
            <w:gridSpan w:val="2"/>
          </w:tcPr>
          <w:p w14:paraId="79759AEC" w14:textId="77777777" w:rsidR="00182BC4" w:rsidRPr="003445FB" w:rsidRDefault="00182BC4" w:rsidP="00887986">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182BC4" w:rsidRPr="003445FB" w14:paraId="59C4282F" w14:textId="77777777" w:rsidTr="00887986">
        <w:trPr>
          <w:trHeight w:val="306"/>
          <w:jc w:val="center"/>
        </w:trPr>
        <w:tc>
          <w:tcPr>
            <w:tcW w:w="649" w:type="dxa"/>
            <w:vMerge/>
            <w:shd w:val="clear" w:color="auto" w:fill="auto"/>
            <w:vAlign w:val="center"/>
          </w:tcPr>
          <w:p w14:paraId="3D50F61D" w14:textId="77777777" w:rsidR="00182BC4" w:rsidRPr="003445FB" w:rsidRDefault="00182BC4" w:rsidP="00887986">
            <w:pPr>
              <w:pStyle w:val="TAH"/>
            </w:pPr>
          </w:p>
        </w:tc>
        <w:tc>
          <w:tcPr>
            <w:tcW w:w="992" w:type="dxa"/>
            <w:vMerge/>
          </w:tcPr>
          <w:p w14:paraId="65FE8881" w14:textId="77777777" w:rsidR="00182BC4" w:rsidRPr="003445FB" w:rsidRDefault="00182BC4" w:rsidP="00887986">
            <w:pPr>
              <w:pStyle w:val="TAH"/>
            </w:pPr>
          </w:p>
        </w:tc>
        <w:tc>
          <w:tcPr>
            <w:tcW w:w="1969" w:type="dxa"/>
          </w:tcPr>
          <w:p w14:paraId="70C7B220" w14:textId="77777777" w:rsidR="00182BC4" w:rsidRPr="003445FB" w:rsidRDefault="00182BC4" w:rsidP="00887986">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380959BB" w14:textId="77777777" w:rsidR="00182BC4" w:rsidRPr="003445FB" w:rsidRDefault="00182BC4" w:rsidP="00887986">
            <w:pPr>
              <w:pStyle w:val="TAH"/>
              <w:rPr>
                <w:vertAlign w:val="superscript"/>
                <w:lang w:eastAsia="zh-CN"/>
              </w:rPr>
            </w:pPr>
            <w:r w:rsidRPr="003445FB">
              <w:rPr>
                <w:lang w:eastAsia="zh-CN"/>
              </w:rPr>
              <w:t>Type 2</w:t>
            </w:r>
            <w:r w:rsidRPr="003445FB">
              <w:rPr>
                <w:vertAlign w:val="superscript"/>
                <w:lang w:eastAsia="zh-CN"/>
              </w:rPr>
              <w:t>Note 1</w:t>
            </w:r>
          </w:p>
        </w:tc>
      </w:tr>
      <w:tr w:rsidR="00182BC4" w:rsidRPr="003445FB" w:rsidDel="00FC0501" w14:paraId="303A501A" w14:textId="77777777" w:rsidTr="00887986">
        <w:trPr>
          <w:jc w:val="center"/>
        </w:trPr>
        <w:tc>
          <w:tcPr>
            <w:tcW w:w="649" w:type="dxa"/>
            <w:shd w:val="clear" w:color="auto" w:fill="auto"/>
          </w:tcPr>
          <w:p w14:paraId="55467754" w14:textId="77777777" w:rsidR="00182BC4" w:rsidRPr="003445FB" w:rsidRDefault="00182BC4" w:rsidP="00887986">
            <w:pPr>
              <w:pStyle w:val="TAC"/>
            </w:pPr>
            <w:r w:rsidRPr="003445FB">
              <w:t>0</w:t>
            </w:r>
          </w:p>
        </w:tc>
        <w:tc>
          <w:tcPr>
            <w:tcW w:w="992" w:type="dxa"/>
          </w:tcPr>
          <w:p w14:paraId="0B5CACB5" w14:textId="77777777" w:rsidR="00182BC4" w:rsidRPr="003445FB" w:rsidRDefault="00182BC4" w:rsidP="00887986">
            <w:pPr>
              <w:pStyle w:val="TAC"/>
            </w:pPr>
            <w:r w:rsidRPr="003445FB">
              <w:t>1</w:t>
            </w:r>
          </w:p>
        </w:tc>
        <w:tc>
          <w:tcPr>
            <w:tcW w:w="1969" w:type="dxa"/>
            <w:shd w:val="clear" w:color="auto" w:fill="auto"/>
          </w:tcPr>
          <w:p w14:paraId="7D5A5166" w14:textId="77777777" w:rsidR="00182BC4" w:rsidRPr="003445FB" w:rsidRDefault="00182BC4" w:rsidP="00887986">
            <w:pPr>
              <w:pStyle w:val="TAC"/>
            </w:pPr>
            <w:r w:rsidRPr="003445FB">
              <w:t>[1]</w:t>
            </w:r>
          </w:p>
        </w:tc>
        <w:tc>
          <w:tcPr>
            <w:tcW w:w="1969" w:type="dxa"/>
          </w:tcPr>
          <w:p w14:paraId="0CF1B85C" w14:textId="77777777" w:rsidR="00182BC4" w:rsidRPr="003445FB" w:rsidRDefault="00182BC4" w:rsidP="00887986">
            <w:pPr>
              <w:pStyle w:val="TAC"/>
            </w:pPr>
            <w:r w:rsidRPr="003445FB">
              <w:t>[3]</w:t>
            </w:r>
          </w:p>
        </w:tc>
      </w:tr>
      <w:tr w:rsidR="00182BC4" w:rsidRPr="003445FB" w:rsidDel="00FC0501" w14:paraId="5A78BBEC" w14:textId="77777777" w:rsidTr="00887986">
        <w:trPr>
          <w:jc w:val="center"/>
        </w:trPr>
        <w:tc>
          <w:tcPr>
            <w:tcW w:w="649" w:type="dxa"/>
            <w:shd w:val="clear" w:color="auto" w:fill="auto"/>
          </w:tcPr>
          <w:p w14:paraId="481FD581" w14:textId="77777777" w:rsidR="00182BC4" w:rsidRPr="003445FB" w:rsidRDefault="00182BC4" w:rsidP="00887986">
            <w:pPr>
              <w:pStyle w:val="TAC"/>
            </w:pPr>
            <w:r w:rsidRPr="003445FB">
              <w:t>1</w:t>
            </w:r>
          </w:p>
        </w:tc>
        <w:tc>
          <w:tcPr>
            <w:tcW w:w="992" w:type="dxa"/>
          </w:tcPr>
          <w:p w14:paraId="084E8A76" w14:textId="77777777" w:rsidR="00182BC4" w:rsidRPr="003445FB" w:rsidRDefault="00182BC4" w:rsidP="00887986">
            <w:pPr>
              <w:pStyle w:val="TAC"/>
            </w:pPr>
            <w:r w:rsidRPr="003445FB">
              <w:t>0.5</w:t>
            </w:r>
          </w:p>
        </w:tc>
        <w:tc>
          <w:tcPr>
            <w:tcW w:w="1969" w:type="dxa"/>
            <w:shd w:val="clear" w:color="auto" w:fill="auto"/>
          </w:tcPr>
          <w:p w14:paraId="4822871D" w14:textId="77777777" w:rsidR="00182BC4" w:rsidRPr="003445FB" w:rsidRDefault="00182BC4" w:rsidP="00887986">
            <w:pPr>
              <w:pStyle w:val="TAC"/>
            </w:pPr>
            <w:r w:rsidRPr="003445FB">
              <w:t>[2]</w:t>
            </w:r>
          </w:p>
        </w:tc>
        <w:tc>
          <w:tcPr>
            <w:tcW w:w="1969" w:type="dxa"/>
          </w:tcPr>
          <w:p w14:paraId="6FA650DA" w14:textId="77777777" w:rsidR="00182BC4" w:rsidRPr="003445FB" w:rsidRDefault="00182BC4" w:rsidP="00887986">
            <w:pPr>
              <w:pStyle w:val="TAC"/>
            </w:pPr>
            <w:r w:rsidRPr="003445FB">
              <w:t>[5]</w:t>
            </w:r>
          </w:p>
        </w:tc>
      </w:tr>
      <w:tr w:rsidR="00182BC4" w:rsidRPr="003445FB" w:rsidDel="00FC0501" w14:paraId="1621DD85" w14:textId="77777777" w:rsidTr="00887986">
        <w:trPr>
          <w:jc w:val="center"/>
        </w:trPr>
        <w:tc>
          <w:tcPr>
            <w:tcW w:w="649" w:type="dxa"/>
            <w:shd w:val="clear" w:color="auto" w:fill="auto"/>
          </w:tcPr>
          <w:p w14:paraId="64CE28F8" w14:textId="77777777" w:rsidR="00182BC4" w:rsidRPr="003445FB" w:rsidRDefault="00182BC4" w:rsidP="00887986">
            <w:pPr>
              <w:pStyle w:val="TAC"/>
            </w:pPr>
            <w:r w:rsidRPr="003445FB">
              <w:t>2</w:t>
            </w:r>
          </w:p>
        </w:tc>
        <w:tc>
          <w:tcPr>
            <w:tcW w:w="992" w:type="dxa"/>
          </w:tcPr>
          <w:p w14:paraId="5406A2EF" w14:textId="77777777" w:rsidR="00182BC4" w:rsidRPr="003445FB" w:rsidRDefault="00182BC4" w:rsidP="00887986">
            <w:pPr>
              <w:pStyle w:val="TAC"/>
            </w:pPr>
            <w:r w:rsidRPr="003445FB">
              <w:t>0.25</w:t>
            </w:r>
          </w:p>
        </w:tc>
        <w:tc>
          <w:tcPr>
            <w:tcW w:w="1969" w:type="dxa"/>
            <w:shd w:val="clear" w:color="auto" w:fill="auto"/>
          </w:tcPr>
          <w:p w14:paraId="1DA599CC" w14:textId="77777777" w:rsidR="00182BC4" w:rsidRPr="003445FB" w:rsidRDefault="00182BC4" w:rsidP="00887986">
            <w:pPr>
              <w:pStyle w:val="TAC"/>
            </w:pPr>
            <w:r w:rsidRPr="003445FB">
              <w:t>[3]</w:t>
            </w:r>
          </w:p>
        </w:tc>
        <w:tc>
          <w:tcPr>
            <w:tcW w:w="1969" w:type="dxa"/>
          </w:tcPr>
          <w:p w14:paraId="7509DAF5" w14:textId="77777777" w:rsidR="00182BC4" w:rsidRPr="003445FB" w:rsidRDefault="00182BC4" w:rsidP="00887986">
            <w:pPr>
              <w:pStyle w:val="TAC"/>
            </w:pPr>
            <w:r w:rsidRPr="003445FB">
              <w:t>[9]</w:t>
            </w:r>
          </w:p>
        </w:tc>
      </w:tr>
      <w:tr w:rsidR="00182BC4" w:rsidRPr="003445FB" w:rsidDel="00FC0501" w14:paraId="2159D90A" w14:textId="77777777" w:rsidTr="00887986">
        <w:trPr>
          <w:jc w:val="center"/>
        </w:trPr>
        <w:tc>
          <w:tcPr>
            <w:tcW w:w="649" w:type="dxa"/>
            <w:shd w:val="clear" w:color="auto" w:fill="auto"/>
          </w:tcPr>
          <w:p w14:paraId="2C3BFC2D" w14:textId="77777777" w:rsidR="00182BC4" w:rsidRPr="003445FB" w:rsidRDefault="00182BC4" w:rsidP="00887986">
            <w:pPr>
              <w:pStyle w:val="TAC"/>
            </w:pPr>
            <w:r w:rsidRPr="003445FB">
              <w:t>3</w:t>
            </w:r>
          </w:p>
        </w:tc>
        <w:tc>
          <w:tcPr>
            <w:tcW w:w="992" w:type="dxa"/>
          </w:tcPr>
          <w:p w14:paraId="1446216B" w14:textId="77777777" w:rsidR="00182BC4" w:rsidRPr="003445FB" w:rsidRDefault="00182BC4" w:rsidP="00887986">
            <w:pPr>
              <w:pStyle w:val="TAC"/>
            </w:pPr>
            <w:r w:rsidRPr="003445FB">
              <w:t>0.125</w:t>
            </w:r>
          </w:p>
        </w:tc>
        <w:tc>
          <w:tcPr>
            <w:tcW w:w="1969" w:type="dxa"/>
            <w:shd w:val="clear" w:color="auto" w:fill="auto"/>
          </w:tcPr>
          <w:p w14:paraId="617CBBE5" w14:textId="77777777" w:rsidR="00182BC4" w:rsidRPr="003445FB" w:rsidRDefault="00182BC4" w:rsidP="00887986">
            <w:pPr>
              <w:pStyle w:val="TAC"/>
            </w:pPr>
            <w:r w:rsidRPr="003445FB">
              <w:t>[6]</w:t>
            </w:r>
          </w:p>
        </w:tc>
        <w:tc>
          <w:tcPr>
            <w:tcW w:w="1969" w:type="dxa"/>
          </w:tcPr>
          <w:p w14:paraId="0941189C" w14:textId="77777777" w:rsidR="00182BC4" w:rsidRPr="003445FB" w:rsidRDefault="00182BC4" w:rsidP="00887986">
            <w:pPr>
              <w:pStyle w:val="TAC"/>
            </w:pPr>
            <w:r w:rsidRPr="003445FB">
              <w:t>[17]</w:t>
            </w:r>
          </w:p>
        </w:tc>
      </w:tr>
      <w:tr w:rsidR="00182BC4" w:rsidRPr="003445FB" w:rsidDel="00FC0501" w14:paraId="6703CB37" w14:textId="77777777" w:rsidTr="00887986">
        <w:trPr>
          <w:jc w:val="center"/>
        </w:trPr>
        <w:tc>
          <w:tcPr>
            <w:tcW w:w="5579" w:type="dxa"/>
            <w:gridSpan w:val="4"/>
            <w:shd w:val="clear" w:color="auto" w:fill="auto"/>
          </w:tcPr>
          <w:p w14:paraId="0EE8093C" w14:textId="77777777" w:rsidR="00182BC4" w:rsidRPr="003445FB" w:rsidRDefault="00182BC4" w:rsidP="00887986">
            <w:pPr>
              <w:pStyle w:val="TAN"/>
            </w:pPr>
            <w:r w:rsidRPr="003445FB">
              <w:t>Note 1:</w:t>
            </w:r>
            <w:r w:rsidRPr="003445FB">
              <w:tab/>
              <w:t>Depends on UE capability.</w:t>
            </w:r>
          </w:p>
          <w:p w14:paraId="76B709E7" w14:textId="77777777" w:rsidR="00182BC4" w:rsidRPr="003445FB" w:rsidRDefault="00182BC4" w:rsidP="00887986">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1797F731" w14:textId="2F450F43" w:rsidR="00182BC4" w:rsidRDefault="00182BC4" w:rsidP="00182BC4"/>
    <w:p w14:paraId="6054C637" w14:textId="77777777" w:rsidR="00182BC4" w:rsidRPr="008D1FF1" w:rsidRDefault="00182BC4" w:rsidP="00182BC4"/>
    <w:p w14:paraId="3BF2D018" w14:textId="77777777" w:rsidR="00182BC4" w:rsidRDefault="00182BC4" w:rsidP="00182BC4">
      <w:pPr>
        <w:pStyle w:val="RAN4H2"/>
      </w:pPr>
      <w:r>
        <w:t>MAC-based BWP switch upon initiation of random access procedure</w:t>
      </w:r>
    </w:p>
    <w:p w14:paraId="6D25F285" w14:textId="77777777" w:rsidR="00182BC4" w:rsidRDefault="00182BC4" w:rsidP="00182BC4">
      <w:r w:rsidRPr="00A8290C">
        <w:t>The MAC-based BWP switching occurs if the current BWP has no RACH resources</w:t>
      </w:r>
      <w:r>
        <w:t xml:space="preserve">. In this case, the UE will fall back to the initial BWP or the DL BWP will be switched to the DL BWP with the same </w:t>
      </w:r>
      <w:r w:rsidRPr="00C413AE">
        <w:rPr>
          <w:i/>
        </w:rPr>
        <w:t>bwp-Id</w:t>
      </w:r>
      <w:r>
        <w:t xml:space="preserve"> as the active UL BWP. The process is described in TS </w:t>
      </w:r>
      <w:r w:rsidRPr="00A8290C">
        <w:t>38.321</w:t>
      </w:r>
      <w:r>
        <w:t xml:space="preserve"> as shown in the following excerpt:</w:t>
      </w:r>
    </w:p>
    <w:tbl>
      <w:tblPr>
        <w:tblStyle w:val="TableGrid"/>
        <w:tblW w:w="0" w:type="auto"/>
        <w:tblInd w:w="360" w:type="dxa"/>
        <w:tblLook w:val="04A0" w:firstRow="1" w:lastRow="0" w:firstColumn="1" w:lastColumn="0" w:noHBand="0" w:noVBand="1"/>
      </w:tblPr>
      <w:tblGrid>
        <w:gridCol w:w="9257"/>
      </w:tblGrid>
      <w:tr w:rsidR="00182BC4" w14:paraId="08A7D4A1" w14:textId="77777777" w:rsidTr="00887986">
        <w:tc>
          <w:tcPr>
            <w:tcW w:w="10196" w:type="dxa"/>
          </w:tcPr>
          <w:p w14:paraId="63D5D54C" w14:textId="77777777" w:rsidR="00182BC4" w:rsidRPr="00A8290C" w:rsidRDefault="00182BC4" w:rsidP="00887986">
            <w:pPr>
              <w:keepNext/>
              <w:keepLines/>
              <w:spacing w:before="180" w:after="180"/>
              <w:ind w:left="1134" w:hanging="1134"/>
              <w:outlineLvl w:val="1"/>
              <w:rPr>
                <w:rFonts w:ascii="Arial" w:eastAsia="Malgun Gothic" w:hAnsi="Arial" w:cs="Arial"/>
                <w:sz w:val="32"/>
                <w:lang w:eastAsia="ko-KR"/>
              </w:rPr>
            </w:pPr>
            <w:bookmarkStart w:id="4" w:name="_Toc534933464"/>
            <w:r w:rsidRPr="00A8290C">
              <w:rPr>
                <w:rFonts w:ascii="Arial" w:eastAsia="Malgun Gothic" w:hAnsi="Arial" w:cs="Arial"/>
                <w:sz w:val="32"/>
                <w:lang w:eastAsia="ko-KR"/>
              </w:rPr>
              <w:t>5.15</w:t>
            </w:r>
            <w:r w:rsidRPr="00A8290C">
              <w:rPr>
                <w:rFonts w:ascii="Arial" w:eastAsia="Malgun Gothic" w:hAnsi="Arial" w:cs="Arial"/>
                <w:sz w:val="32"/>
                <w:lang w:eastAsia="ko-KR"/>
              </w:rPr>
              <w:tab/>
              <w:t>Bandwidth Part (BWP) operation</w:t>
            </w:r>
            <w:bookmarkEnd w:id="4"/>
          </w:p>
          <w:p w14:paraId="1D649D8D" w14:textId="77777777" w:rsidR="00182BC4" w:rsidRPr="002471A8" w:rsidRDefault="00182BC4" w:rsidP="00887986">
            <w:pPr>
              <w:spacing w:after="180"/>
              <w:ind w:left="360"/>
              <w:rPr>
                <w:rFonts w:eastAsia="Malgun Gothic"/>
                <w:lang w:eastAsia="ko-KR"/>
              </w:rPr>
            </w:pPr>
            <w:r w:rsidRPr="002471A8">
              <w:rPr>
                <w:rFonts w:eastAsia="Malgun Gothic"/>
                <w:lang w:eastAsia="ko-KR"/>
              </w:rPr>
              <w:t>...</w:t>
            </w:r>
          </w:p>
          <w:p w14:paraId="37FCF500" w14:textId="77777777" w:rsidR="00182BC4" w:rsidRPr="002471A8" w:rsidRDefault="00182BC4" w:rsidP="00887986">
            <w:pPr>
              <w:spacing w:after="180"/>
              <w:rPr>
                <w:rFonts w:eastAsia="Malgun Gothic"/>
                <w:lang w:eastAsia="ko-KR"/>
              </w:rPr>
            </w:pPr>
            <w:r w:rsidRPr="002471A8">
              <w:rPr>
                <w:rFonts w:eastAsia="Malgun Gothic"/>
                <w:lang w:eastAsia="ko-KR"/>
              </w:rPr>
              <w:t>Upon initiation of the Random Access procedure on a Serving Cell, after the selection of carrier for performing Random Access procedure as specified in subclause 5.1.1, the MAC entity shall for the selected carrier of this Serving Cell:</w:t>
            </w:r>
          </w:p>
          <w:p w14:paraId="7E4FE57A" w14:textId="77777777" w:rsidR="00182BC4" w:rsidRPr="00A8290C" w:rsidRDefault="00182BC4" w:rsidP="00887986">
            <w:pPr>
              <w:spacing w:after="180"/>
              <w:ind w:left="568" w:hanging="284"/>
              <w:rPr>
                <w:rFonts w:eastAsia="Malgun Gothic"/>
                <w:lang w:eastAsia="ko-KR"/>
              </w:rPr>
            </w:pPr>
            <w:r w:rsidRPr="002471A8">
              <w:rPr>
                <w:rFonts w:eastAsia="Malgun Gothic"/>
                <w:lang w:eastAsia="ko-KR"/>
              </w:rPr>
              <w:t>1</w:t>
            </w:r>
            <w:r w:rsidRPr="00A8290C">
              <w:rPr>
                <w:rFonts w:eastAsia="Malgun Gothic"/>
                <w:lang w:eastAsia="ko-KR"/>
              </w:rPr>
              <w:t>&gt;</w:t>
            </w:r>
            <w:r w:rsidRPr="00A8290C">
              <w:rPr>
                <w:rFonts w:eastAsia="Malgun Gothic"/>
                <w:lang w:eastAsia="ko-KR"/>
              </w:rPr>
              <w:tab/>
              <w:t>if PRACH occasions are not configured for the active UL BWP:</w:t>
            </w:r>
          </w:p>
          <w:p w14:paraId="5A236969" w14:textId="77777777" w:rsidR="00182BC4" w:rsidRPr="00A8290C" w:rsidRDefault="00182BC4" w:rsidP="00887986">
            <w:pPr>
              <w:spacing w:after="180"/>
              <w:ind w:left="851" w:hanging="284"/>
              <w:rPr>
                <w:rFonts w:eastAsia="Malgun Gothic"/>
                <w:lang w:eastAsia="ko-KR"/>
              </w:rPr>
            </w:pPr>
            <w:r w:rsidRPr="00A8290C">
              <w:rPr>
                <w:rFonts w:eastAsia="Malgun Gothic"/>
                <w:lang w:eastAsia="ko-KR"/>
              </w:rPr>
              <w:t>2&gt;</w:t>
            </w:r>
            <w:r w:rsidRPr="00A8290C">
              <w:rPr>
                <w:rFonts w:eastAsia="Malgun Gothic"/>
                <w:lang w:eastAsia="ko-KR"/>
              </w:rPr>
              <w:tab/>
              <w:t xml:space="preserve">switch the active UL BWP to BWP indicated by </w:t>
            </w:r>
            <w:r w:rsidRPr="00A8290C">
              <w:rPr>
                <w:rFonts w:eastAsia="Malgun Gothic"/>
                <w:i/>
                <w:lang w:eastAsia="ko-KR"/>
              </w:rPr>
              <w:t>initialUplinkBWP</w:t>
            </w:r>
            <w:r w:rsidRPr="00A8290C">
              <w:rPr>
                <w:rFonts w:eastAsia="Malgun Gothic"/>
                <w:lang w:eastAsia="ko-KR"/>
              </w:rPr>
              <w:t>;</w:t>
            </w:r>
          </w:p>
          <w:p w14:paraId="1B8FD729" w14:textId="77777777" w:rsidR="00182BC4" w:rsidRPr="00A8290C" w:rsidRDefault="00182BC4" w:rsidP="00887986">
            <w:pPr>
              <w:spacing w:after="180"/>
              <w:ind w:left="851" w:hanging="284"/>
              <w:rPr>
                <w:rFonts w:eastAsia="Malgun Gothic"/>
                <w:lang w:eastAsia="ko-KR"/>
              </w:rPr>
            </w:pPr>
            <w:r w:rsidRPr="00A8290C">
              <w:rPr>
                <w:rFonts w:eastAsia="Malgun Gothic"/>
                <w:lang w:eastAsia="ko-KR"/>
              </w:rPr>
              <w:t>2&gt;</w:t>
            </w:r>
            <w:r w:rsidRPr="00A8290C">
              <w:rPr>
                <w:rFonts w:eastAsia="Malgun Gothic"/>
                <w:lang w:eastAsia="ko-KR"/>
              </w:rPr>
              <w:tab/>
              <w:t>if the Serving Cell is a SpCell:</w:t>
            </w:r>
          </w:p>
          <w:p w14:paraId="783DF697" w14:textId="77777777" w:rsidR="00182BC4" w:rsidRPr="00A8290C" w:rsidRDefault="00182BC4" w:rsidP="00887986">
            <w:pPr>
              <w:spacing w:after="180"/>
              <w:ind w:left="1135" w:hanging="284"/>
              <w:rPr>
                <w:rFonts w:eastAsia="Malgun Gothic"/>
                <w:lang w:eastAsia="ko-KR"/>
              </w:rPr>
            </w:pPr>
            <w:r w:rsidRPr="00A8290C">
              <w:rPr>
                <w:rFonts w:eastAsia="Malgun Gothic"/>
                <w:lang w:eastAsia="ko-KR"/>
              </w:rPr>
              <w:t>3&gt;</w:t>
            </w:r>
            <w:r w:rsidRPr="00A8290C">
              <w:rPr>
                <w:rFonts w:eastAsia="Malgun Gothic"/>
                <w:lang w:eastAsia="ko-KR"/>
              </w:rPr>
              <w:tab/>
              <w:t xml:space="preserve">switch the active DL BWP to BWP indicated by </w:t>
            </w:r>
            <w:r w:rsidRPr="00A8290C">
              <w:rPr>
                <w:rFonts w:eastAsia="Malgun Gothic"/>
                <w:i/>
                <w:lang w:eastAsia="ko-KR"/>
              </w:rPr>
              <w:t>initialDownlinkBWP</w:t>
            </w:r>
            <w:r w:rsidRPr="00A8290C">
              <w:rPr>
                <w:rFonts w:eastAsia="Malgun Gothic"/>
                <w:lang w:eastAsia="ko-KR"/>
              </w:rPr>
              <w:t>.</w:t>
            </w:r>
          </w:p>
          <w:p w14:paraId="7C29EF9F" w14:textId="77777777" w:rsidR="00182BC4" w:rsidRPr="00A8290C" w:rsidRDefault="00182BC4" w:rsidP="00887986">
            <w:pPr>
              <w:spacing w:after="180"/>
              <w:ind w:left="568" w:hanging="284"/>
              <w:rPr>
                <w:rFonts w:eastAsia="Malgun Gothic"/>
                <w:lang w:eastAsia="ko-KR"/>
              </w:rPr>
            </w:pPr>
            <w:r w:rsidRPr="00A8290C">
              <w:rPr>
                <w:rFonts w:eastAsia="Malgun Gothic"/>
                <w:lang w:eastAsia="ko-KR"/>
              </w:rPr>
              <w:t>1&gt;</w:t>
            </w:r>
            <w:r w:rsidRPr="00A8290C">
              <w:rPr>
                <w:rFonts w:eastAsia="Malgun Gothic"/>
                <w:lang w:eastAsia="ko-KR"/>
              </w:rPr>
              <w:tab/>
              <w:t>else:</w:t>
            </w:r>
          </w:p>
          <w:p w14:paraId="6FDA8ED6" w14:textId="77777777" w:rsidR="00182BC4" w:rsidRPr="00A8290C" w:rsidRDefault="00182BC4" w:rsidP="00887986">
            <w:pPr>
              <w:spacing w:after="180"/>
              <w:ind w:left="851" w:hanging="284"/>
              <w:rPr>
                <w:rFonts w:eastAsia="Malgun Gothic"/>
                <w:lang w:eastAsia="ko-KR"/>
              </w:rPr>
            </w:pPr>
            <w:r w:rsidRPr="00A8290C">
              <w:rPr>
                <w:rFonts w:eastAsia="Malgun Gothic"/>
                <w:lang w:eastAsia="ko-KR"/>
              </w:rPr>
              <w:t>2&gt;</w:t>
            </w:r>
            <w:r w:rsidRPr="00A8290C">
              <w:rPr>
                <w:rFonts w:eastAsia="Malgun Gothic"/>
                <w:lang w:eastAsia="ko-KR"/>
              </w:rPr>
              <w:tab/>
              <w:t>if the Serving Cell is a SpCell:</w:t>
            </w:r>
          </w:p>
          <w:p w14:paraId="2EA68D1F" w14:textId="77777777" w:rsidR="00182BC4" w:rsidRPr="00A8290C" w:rsidRDefault="00182BC4" w:rsidP="00887986">
            <w:pPr>
              <w:spacing w:after="180"/>
              <w:ind w:left="1135" w:hanging="284"/>
              <w:rPr>
                <w:rFonts w:eastAsia="Malgun Gothic"/>
                <w:lang w:eastAsia="ko-KR"/>
              </w:rPr>
            </w:pPr>
            <w:r w:rsidRPr="00A8290C">
              <w:rPr>
                <w:rFonts w:eastAsia="Malgun Gothic"/>
                <w:lang w:eastAsia="ko-KR"/>
              </w:rPr>
              <w:t>3&gt;</w:t>
            </w:r>
            <w:r w:rsidRPr="00A8290C">
              <w:rPr>
                <w:rFonts w:eastAsia="Malgun Gothic"/>
                <w:lang w:eastAsia="ko-KR"/>
              </w:rPr>
              <w:tab/>
              <w:t xml:space="preserve">if the active DL BWP does not have the same </w:t>
            </w:r>
            <w:r w:rsidRPr="00A8290C">
              <w:rPr>
                <w:rFonts w:eastAsia="Malgun Gothic"/>
                <w:i/>
                <w:lang w:eastAsia="ko-KR"/>
              </w:rPr>
              <w:t>bwp-Id</w:t>
            </w:r>
            <w:r w:rsidRPr="00A8290C">
              <w:rPr>
                <w:rFonts w:eastAsia="Malgun Gothic"/>
                <w:lang w:eastAsia="ko-KR"/>
              </w:rPr>
              <w:t xml:space="preserve"> as the active UL BWP:</w:t>
            </w:r>
          </w:p>
          <w:p w14:paraId="4680AEF6" w14:textId="77777777" w:rsidR="00182BC4" w:rsidRPr="002471A8" w:rsidRDefault="00182BC4" w:rsidP="00887986">
            <w:pPr>
              <w:spacing w:after="180"/>
              <w:ind w:left="1418" w:hanging="284"/>
              <w:rPr>
                <w:rFonts w:eastAsia="Malgun Gothic"/>
                <w:lang w:eastAsia="ko-KR"/>
              </w:rPr>
            </w:pPr>
            <w:r w:rsidRPr="00A8290C">
              <w:rPr>
                <w:rFonts w:eastAsia="Malgun Gothic"/>
                <w:lang w:eastAsia="ko-KR"/>
              </w:rPr>
              <w:t>4&gt;</w:t>
            </w:r>
            <w:r w:rsidRPr="00A8290C">
              <w:rPr>
                <w:rFonts w:eastAsia="Malgun Gothic"/>
                <w:lang w:eastAsia="ko-KR"/>
              </w:rPr>
              <w:tab/>
              <w:t xml:space="preserve">switch the active DL BWP to the DL BWP with the same </w:t>
            </w:r>
            <w:r w:rsidRPr="00A8290C">
              <w:rPr>
                <w:rFonts w:eastAsia="Malgun Gothic"/>
                <w:i/>
                <w:lang w:eastAsia="ko-KR"/>
              </w:rPr>
              <w:t>bwp-Id</w:t>
            </w:r>
            <w:r w:rsidRPr="00A8290C">
              <w:rPr>
                <w:rFonts w:eastAsia="Malgun Gothic"/>
                <w:lang w:eastAsia="ko-KR"/>
              </w:rPr>
              <w:t xml:space="preserve"> as the active UL BWP.</w:t>
            </w:r>
          </w:p>
          <w:p w14:paraId="51C4DEE5" w14:textId="77777777" w:rsidR="00182BC4" w:rsidRDefault="00182BC4" w:rsidP="00887986">
            <w:pPr>
              <w:jc w:val="both"/>
              <w:rPr>
                <w:rFonts w:cs="Arial"/>
                <w:color w:val="595959" w:themeColor="text1" w:themeTint="A6"/>
              </w:rPr>
            </w:pPr>
          </w:p>
        </w:tc>
      </w:tr>
    </w:tbl>
    <w:p w14:paraId="2994EB5F" w14:textId="77777777" w:rsidR="00182BC4" w:rsidRDefault="00182BC4" w:rsidP="00182BC4"/>
    <w:p w14:paraId="51166EE8" w14:textId="38011B8C" w:rsidR="00182BC4" w:rsidRDefault="00182BC4" w:rsidP="00182BC4">
      <w:r>
        <w:t>In our view, this case is in principle quite similar to timer-based BWP switch, where the UE switches back to the default BWP in timer expiration. In neither of these two cases, the switch is based on a specific BWP switch command but instead happens as a fall-back to the initial BWP. Thus, we think the delay could also be the same for MAC-based BWP switch as for timer-based BWP switch</w:t>
      </w:r>
      <w:r w:rsidR="00552BC4">
        <w:t>, which then again is the same as the delay for DCI-based BWP switch</w:t>
      </w:r>
      <w:r>
        <w:t>.</w:t>
      </w:r>
    </w:p>
    <w:p w14:paraId="64A99A7D" w14:textId="77777777" w:rsidR="00182BC4" w:rsidRDefault="00182BC4" w:rsidP="00182BC4">
      <w:pPr>
        <w:pStyle w:val="RAN4proposal"/>
      </w:pPr>
      <w:r>
        <w:t>For MAC-based BWP switch upon the initiation of random access procedure, use the same delay as for timer-based BWP switch.</w:t>
      </w:r>
    </w:p>
    <w:p w14:paraId="59988FF1" w14:textId="77777777" w:rsidR="00182BC4" w:rsidRDefault="00182BC4" w:rsidP="00182BC4">
      <w:pPr>
        <w:pStyle w:val="RAN4H2"/>
      </w:pPr>
      <w:r>
        <w:lastRenderedPageBreak/>
        <w:t>Interruptions</w:t>
      </w:r>
    </w:p>
    <w:p w14:paraId="4CD6E4EB" w14:textId="50376E56" w:rsidR="00182BC4" w:rsidRPr="00F2733E" w:rsidRDefault="00182BC4" w:rsidP="00182BC4">
      <w:r>
        <w:t>For all the new BWP switch types, we think the DCI-</w:t>
      </w:r>
      <w:r w:rsidR="00D56A4A">
        <w:t>based</w:t>
      </w:r>
      <w:r>
        <w:t xml:space="preserve"> and timer-based BWP switch interruption requirements can be reused. The timing of the interruption needs to be clarified, but we think the duration can be directly reused. For RRC-based BWP switch, the start of the interruption should happen within </w:t>
      </w:r>
      <w:r w:rsidRPr="009762C5">
        <w:rPr>
          <w:i/>
        </w:rPr>
        <w:t>T</w:t>
      </w:r>
      <w:r w:rsidRPr="009762C5">
        <w:rPr>
          <w:i/>
          <w:vertAlign w:val="subscript"/>
        </w:rPr>
        <w:t>BWPswitchDelayRRC</w:t>
      </w:r>
      <w:r w:rsidR="00D56A4A">
        <w:t>. For MAC-based BWP switch, the switching begins when the UE observes there are no random access resources available on the current BWP.</w:t>
      </w:r>
    </w:p>
    <w:p w14:paraId="6B18F970" w14:textId="77777777" w:rsidR="00182BC4" w:rsidRDefault="00182BC4" w:rsidP="00182BC4">
      <w:pPr>
        <w:pStyle w:val="RAN4proposal"/>
      </w:pPr>
      <w:r>
        <w:t>Reuse DCI-based BWP switch interruption duration for the new BWP switch types with clarification of the interruption timing.</w:t>
      </w:r>
    </w:p>
    <w:p w14:paraId="3826375F" w14:textId="77777777" w:rsidR="00182BC4" w:rsidRDefault="00182BC4" w:rsidP="00182BC4">
      <w:pPr>
        <w:pStyle w:val="RAN4H1"/>
      </w:pPr>
      <w:r w:rsidRPr="00A37002">
        <w:t>Conclusion</w:t>
      </w:r>
    </w:p>
    <w:p w14:paraId="2D2710C1" w14:textId="3C47279B" w:rsidR="00182BC4" w:rsidRPr="000439D8" w:rsidRDefault="000439D8" w:rsidP="00182BC4">
      <w:pPr>
        <w:rPr>
          <w:lang w:val="en-GB"/>
        </w:rPr>
      </w:pPr>
      <w:r w:rsidRPr="000439D8">
        <w:rPr>
          <w:lang w:val="en-GB"/>
        </w:rPr>
        <w:t>In this contribution we have</w:t>
      </w:r>
      <w:r w:rsidR="000C316A">
        <w:rPr>
          <w:lang w:val="en-GB"/>
        </w:rPr>
        <w:t xml:space="preserve"> discussed BWP switch delay and interruption requirements for RRC- and MAC-based BWP switch. Based on the discussion we have made the following proposals:</w:t>
      </w:r>
    </w:p>
    <w:p w14:paraId="28FDCCA8" w14:textId="228A9E6A" w:rsidR="000439D8" w:rsidRDefault="000439D8" w:rsidP="000439D8">
      <w:pPr>
        <w:pStyle w:val="RAN4proposal"/>
        <w:numPr>
          <w:ilvl w:val="0"/>
          <w:numId w:val="29"/>
        </w:numPr>
      </w:pPr>
      <w:r w:rsidRPr="00182BC4">
        <w:t>T</w:t>
      </w:r>
      <w:r w:rsidRPr="000439D8">
        <w:rPr>
          <w:vertAlign w:val="subscript"/>
        </w:rPr>
        <w:t>BWPswitchDelayRRC</w:t>
      </w:r>
      <w:r w:rsidRPr="00182BC4">
        <w:t xml:space="preserve"> </w:t>
      </w:r>
      <w:r>
        <w:t>when no new BWP configurations are added (Case 1) may be 200 us shorter than the delay defined for DCI-based BWP switch.</w:t>
      </w:r>
    </w:p>
    <w:p w14:paraId="3AEC1409" w14:textId="44290303" w:rsidR="000439D8" w:rsidRPr="000439D8" w:rsidRDefault="000439D8" w:rsidP="000439D8">
      <w:pPr>
        <w:pStyle w:val="RAN4proposal"/>
      </w:pPr>
      <w:r w:rsidRPr="00182BC4">
        <w:t>T</w:t>
      </w:r>
      <w:r w:rsidRPr="00182BC4">
        <w:rPr>
          <w:vertAlign w:val="subscript"/>
        </w:rPr>
        <w:t>BWPswitchDelayRRC</w:t>
      </w:r>
      <w:r>
        <w:t xml:space="preserve"> when new BWP configurations are added (Case 2) is the same as DCI-based BWP switch delay.</w:t>
      </w:r>
    </w:p>
    <w:p w14:paraId="2543B41C" w14:textId="68D3DB22" w:rsidR="000439D8" w:rsidRPr="000439D8" w:rsidRDefault="000439D8" w:rsidP="000439D8">
      <w:pPr>
        <w:pStyle w:val="RAN4proposal"/>
      </w:pPr>
      <w:r>
        <w:t>For MAC-based BWP switch upon the initiation of random access procedure, use the same delay as for timer-based BWP switch.</w:t>
      </w:r>
    </w:p>
    <w:p w14:paraId="5FF083D1" w14:textId="5021BF5D" w:rsidR="000439D8" w:rsidRPr="000439D8" w:rsidRDefault="000439D8" w:rsidP="00182BC4">
      <w:pPr>
        <w:pStyle w:val="RAN4proposal"/>
      </w:pPr>
      <w:r>
        <w:t>Reuse DCI-based BWP switch interruption duration for the new BWP switch types with clarification of the interruption timing.</w:t>
      </w:r>
    </w:p>
    <w:p w14:paraId="4EBA7C67" w14:textId="77777777" w:rsidR="00182BC4" w:rsidRPr="0095295C" w:rsidRDefault="00182BC4" w:rsidP="00182BC4">
      <w:pPr>
        <w:pStyle w:val="RAN4H1"/>
        <w:numPr>
          <w:ilvl w:val="0"/>
          <w:numId w:val="0"/>
        </w:numPr>
        <w:ind w:left="360" w:hanging="360"/>
      </w:pPr>
      <w:r w:rsidRPr="0095295C">
        <w:t>References</w:t>
      </w:r>
    </w:p>
    <w:p w14:paraId="63434F69" w14:textId="77777777" w:rsidR="00182BC4" w:rsidRDefault="00182BC4" w:rsidP="00182BC4">
      <w:pPr>
        <w:pStyle w:val="ListParagraph"/>
        <w:numPr>
          <w:ilvl w:val="0"/>
          <w:numId w:val="21"/>
        </w:numPr>
        <w:ind w:right="-22"/>
        <w:rPr>
          <w:lang w:val="en-GB"/>
        </w:rPr>
      </w:pPr>
      <w:r w:rsidRPr="00CA61E7">
        <w:rPr>
          <w:lang w:val="en-GB"/>
        </w:rPr>
        <w:t>R4-1816689</w:t>
      </w:r>
      <w:r>
        <w:rPr>
          <w:lang w:val="en-GB"/>
        </w:rPr>
        <w:t xml:space="preserve">, </w:t>
      </w:r>
      <w:r w:rsidRPr="00C413AE">
        <w:rPr>
          <w:lang w:val="en-GB"/>
        </w:rPr>
        <w:t>WF on RRC and MAC based BWP switching</w:t>
      </w:r>
      <w:r>
        <w:rPr>
          <w:lang w:val="en-GB"/>
        </w:rPr>
        <w:t xml:space="preserve">, </w:t>
      </w:r>
      <w:r w:rsidRPr="00C413AE">
        <w:rPr>
          <w:lang w:val="en-GB"/>
        </w:rPr>
        <w:t>Nokia,Nokia, Nokia Shanghai Bell, Mediatek Inc.</w:t>
      </w:r>
      <w:r>
        <w:rPr>
          <w:lang w:val="en-GB"/>
        </w:rPr>
        <w:t xml:space="preserve">, </w:t>
      </w:r>
      <w:r w:rsidRPr="006F095B">
        <w:rPr>
          <w:lang w:val="en-GB"/>
        </w:rPr>
        <w:t xml:space="preserve">3GPP TSG-RAN WG4 </w:t>
      </w:r>
      <w:r>
        <w:rPr>
          <w:lang w:val="en-GB"/>
        </w:rPr>
        <w:t>Meeting #89, Spokane, US, 12-16 November 2019.</w:t>
      </w:r>
    </w:p>
    <w:p w14:paraId="284A60BD" w14:textId="77777777" w:rsidR="00182BC4" w:rsidRDefault="00182BC4" w:rsidP="00182BC4">
      <w:pPr>
        <w:pStyle w:val="ListParagraph"/>
        <w:numPr>
          <w:ilvl w:val="0"/>
          <w:numId w:val="21"/>
        </w:numPr>
        <w:ind w:right="-22"/>
        <w:rPr>
          <w:lang w:val="en-GB"/>
        </w:rPr>
      </w:pPr>
      <w:r w:rsidRPr="006F095B">
        <w:rPr>
          <w:lang w:val="en-GB"/>
        </w:rPr>
        <w:t>R4-1810021</w:t>
      </w:r>
      <w:r>
        <w:rPr>
          <w:lang w:val="en-GB"/>
        </w:rPr>
        <w:t xml:space="preserve">, </w:t>
      </w:r>
      <w:r w:rsidRPr="006F095B">
        <w:rPr>
          <w:lang w:val="en-GB"/>
        </w:rPr>
        <w:t>BWP Switching Delay</w:t>
      </w:r>
      <w:r>
        <w:rPr>
          <w:lang w:val="en-GB"/>
        </w:rPr>
        <w:t xml:space="preserve">, MediaTek Inc., </w:t>
      </w:r>
      <w:r w:rsidRPr="006F095B">
        <w:rPr>
          <w:lang w:val="en-GB"/>
        </w:rPr>
        <w:t xml:space="preserve">3GPP TSG-RAN WG4 </w:t>
      </w:r>
      <w:r>
        <w:rPr>
          <w:lang w:val="en-GB"/>
        </w:rPr>
        <w:t xml:space="preserve">Meeting #88, </w:t>
      </w:r>
      <w:r w:rsidRPr="006F095B">
        <w:rPr>
          <w:lang w:val="en-GB"/>
        </w:rPr>
        <w:t>Gothenburg, Sweden, August 20th–24th, 2018</w:t>
      </w:r>
      <w:r>
        <w:rPr>
          <w:lang w:val="en-GB"/>
        </w:rPr>
        <w:t>.</w:t>
      </w:r>
    </w:p>
    <w:p w14:paraId="486DF439" w14:textId="77777777" w:rsidR="00182BC4" w:rsidRPr="007A6E80" w:rsidRDefault="00182BC4" w:rsidP="00182BC4">
      <w:pPr>
        <w:pStyle w:val="ListParagraph"/>
        <w:numPr>
          <w:ilvl w:val="0"/>
          <w:numId w:val="21"/>
        </w:numPr>
        <w:ind w:right="-22"/>
        <w:rPr>
          <w:lang w:val="en-GB"/>
        </w:rPr>
      </w:pPr>
      <w:r w:rsidRPr="000D4669">
        <w:rPr>
          <w:lang w:val="en-GB"/>
        </w:rPr>
        <w:t>R4-1810664</w:t>
      </w:r>
      <w:r>
        <w:rPr>
          <w:lang w:val="en-GB"/>
        </w:rPr>
        <w:t xml:space="preserve">, </w:t>
      </w:r>
      <w:r w:rsidRPr="000D4669">
        <w:rPr>
          <w:lang w:val="en-GB"/>
        </w:rPr>
        <w:t>Further discussion on BWP switching delay</w:t>
      </w:r>
      <w:r>
        <w:rPr>
          <w:lang w:val="en-GB"/>
        </w:rPr>
        <w:t xml:space="preserve">, Huawei, HiSilicon, 3GPP TSG-RAN WG4 Meeting #88, </w:t>
      </w:r>
      <w:r w:rsidRPr="000D4669">
        <w:rPr>
          <w:lang w:val="en-GB"/>
        </w:rPr>
        <w:t>Gothenburg, Sweden, 20 – 24 August 2018</w:t>
      </w:r>
      <w:r>
        <w:rPr>
          <w:lang w:val="en-GB"/>
        </w:rPr>
        <w:t>.</w:t>
      </w:r>
    </w:p>
    <w:p w14:paraId="3F4CBE29" w14:textId="455F1372" w:rsidR="006F095B" w:rsidRPr="00182BC4" w:rsidRDefault="006F095B" w:rsidP="00182BC4">
      <w:pPr>
        <w:rPr>
          <w:lang w:val="en-GB"/>
        </w:rPr>
      </w:pPr>
    </w:p>
    <w:sectPr w:rsidR="006F095B" w:rsidRPr="00182BC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379AE" w14:textId="77777777" w:rsidR="00757587" w:rsidRDefault="00757587" w:rsidP="00001C9B">
      <w:pPr>
        <w:spacing w:after="0" w:line="240" w:lineRule="auto"/>
      </w:pPr>
      <w:r>
        <w:separator/>
      </w:r>
    </w:p>
  </w:endnote>
  <w:endnote w:type="continuationSeparator" w:id="0">
    <w:p w14:paraId="2E4F1B8D" w14:textId="77777777" w:rsidR="00757587" w:rsidRDefault="0075758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36172" w14:textId="77777777" w:rsidR="00757587" w:rsidRDefault="00757587" w:rsidP="00001C9B">
      <w:pPr>
        <w:spacing w:after="0" w:line="240" w:lineRule="auto"/>
      </w:pPr>
      <w:r>
        <w:separator/>
      </w:r>
    </w:p>
  </w:footnote>
  <w:footnote w:type="continuationSeparator" w:id="0">
    <w:p w14:paraId="50DCA41D" w14:textId="77777777" w:rsidR="00757587" w:rsidRDefault="0075758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6A64"/>
    <w:multiLevelType w:val="hybridMultilevel"/>
    <w:tmpl w:val="75B629BE"/>
    <w:lvl w:ilvl="0" w:tplc="A3F46232">
      <w:start w:val="1"/>
      <w:numFmt w:val="bullet"/>
      <w:lvlText w:val="•"/>
      <w:lvlJc w:val="left"/>
      <w:pPr>
        <w:tabs>
          <w:tab w:val="num" w:pos="720"/>
        </w:tabs>
        <w:ind w:left="720" w:hanging="360"/>
      </w:pPr>
      <w:rPr>
        <w:rFonts w:ascii="Arial" w:hAnsi="Arial" w:hint="default"/>
      </w:rPr>
    </w:lvl>
    <w:lvl w:ilvl="1" w:tplc="7D2ECD6E">
      <w:start w:val="52"/>
      <w:numFmt w:val="bullet"/>
      <w:lvlText w:val="–"/>
      <w:lvlJc w:val="left"/>
      <w:pPr>
        <w:tabs>
          <w:tab w:val="num" w:pos="1440"/>
        </w:tabs>
        <w:ind w:left="1440" w:hanging="360"/>
      </w:pPr>
      <w:rPr>
        <w:rFonts w:ascii="Arial" w:hAnsi="Arial" w:hint="default"/>
      </w:rPr>
    </w:lvl>
    <w:lvl w:ilvl="2" w:tplc="8968FF16" w:tentative="1">
      <w:start w:val="1"/>
      <w:numFmt w:val="bullet"/>
      <w:lvlText w:val="•"/>
      <w:lvlJc w:val="left"/>
      <w:pPr>
        <w:tabs>
          <w:tab w:val="num" w:pos="2160"/>
        </w:tabs>
        <w:ind w:left="2160" w:hanging="360"/>
      </w:pPr>
      <w:rPr>
        <w:rFonts w:ascii="Arial" w:hAnsi="Arial" w:hint="default"/>
      </w:rPr>
    </w:lvl>
    <w:lvl w:ilvl="3" w:tplc="A2DAECB0" w:tentative="1">
      <w:start w:val="1"/>
      <w:numFmt w:val="bullet"/>
      <w:lvlText w:val="•"/>
      <w:lvlJc w:val="left"/>
      <w:pPr>
        <w:tabs>
          <w:tab w:val="num" w:pos="2880"/>
        </w:tabs>
        <w:ind w:left="2880" w:hanging="360"/>
      </w:pPr>
      <w:rPr>
        <w:rFonts w:ascii="Arial" w:hAnsi="Arial" w:hint="default"/>
      </w:rPr>
    </w:lvl>
    <w:lvl w:ilvl="4" w:tplc="C76AE852" w:tentative="1">
      <w:start w:val="1"/>
      <w:numFmt w:val="bullet"/>
      <w:lvlText w:val="•"/>
      <w:lvlJc w:val="left"/>
      <w:pPr>
        <w:tabs>
          <w:tab w:val="num" w:pos="3600"/>
        </w:tabs>
        <w:ind w:left="3600" w:hanging="360"/>
      </w:pPr>
      <w:rPr>
        <w:rFonts w:ascii="Arial" w:hAnsi="Arial" w:hint="default"/>
      </w:rPr>
    </w:lvl>
    <w:lvl w:ilvl="5" w:tplc="333E3E82" w:tentative="1">
      <w:start w:val="1"/>
      <w:numFmt w:val="bullet"/>
      <w:lvlText w:val="•"/>
      <w:lvlJc w:val="left"/>
      <w:pPr>
        <w:tabs>
          <w:tab w:val="num" w:pos="4320"/>
        </w:tabs>
        <w:ind w:left="4320" w:hanging="360"/>
      </w:pPr>
      <w:rPr>
        <w:rFonts w:ascii="Arial" w:hAnsi="Arial" w:hint="default"/>
      </w:rPr>
    </w:lvl>
    <w:lvl w:ilvl="6" w:tplc="8BE09A62" w:tentative="1">
      <w:start w:val="1"/>
      <w:numFmt w:val="bullet"/>
      <w:lvlText w:val="•"/>
      <w:lvlJc w:val="left"/>
      <w:pPr>
        <w:tabs>
          <w:tab w:val="num" w:pos="5040"/>
        </w:tabs>
        <w:ind w:left="5040" w:hanging="360"/>
      </w:pPr>
      <w:rPr>
        <w:rFonts w:ascii="Arial" w:hAnsi="Arial" w:hint="default"/>
      </w:rPr>
    </w:lvl>
    <w:lvl w:ilvl="7" w:tplc="2E5020C4" w:tentative="1">
      <w:start w:val="1"/>
      <w:numFmt w:val="bullet"/>
      <w:lvlText w:val="•"/>
      <w:lvlJc w:val="left"/>
      <w:pPr>
        <w:tabs>
          <w:tab w:val="num" w:pos="5760"/>
        </w:tabs>
        <w:ind w:left="5760" w:hanging="360"/>
      </w:pPr>
      <w:rPr>
        <w:rFonts w:ascii="Arial" w:hAnsi="Arial" w:hint="default"/>
      </w:rPr>
    </w:lvl>
    <w:lvl w:ilvl="8" w:tplc="76BC9E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844D36"/>
    <w:multiLevelType w:val="hybridMultilevel"/>
    <w:tmpl w:val="A8FAE9EE"/>
    <w:lvl w:ilvl="0" w:tplc="0D4C6A32">
      <w:start w:val="1"/>
      <w:numFmt w:val="bullet"/>
      <w:lvlText w:val="•"/>
      <w:lvlJc w:val="left"/>
      <w:pPr>
        <w:tabs>
          <w:tab w:val="num" w:pos="720"/>
        </w:tabs>
        <w:ind w:left="720" w:hanging="360"/>
      </w:pPr>
      <w:rPr>
        <w:rFonts w:ascii="Arial" w:hAnsi="Arial" w:hint="default"/>
      </w:rPr>
    </w:lvl>
    <w:lvl w:ilvl="1" w:tplc="A1106EB6" w:tentative="1">
      <w:start w:val="1"/>
      <w:numFmt w:val="bullet"/>
      <w:lvlText w:val="•"/>
      <w:lvlJc w:val="left"/>
      <w:pPr>
        <w:tabs>
          <w:tab w:val="num" w:pos="1440"/>
        </w:tabs>
        <w:ind w:left="1440" w:hanging="360"/>
      </w:pPr>
      <w:rPr>
        <w:rFonts w:ascii="Arial" w:hAnsi="Arial" w:hint="default"/>
      </w:rPr>
    </w:lvl>
    <w:lvl w:ilvl="2" w:tplc="CE68211C" w:tentative="1">
      <w:start w:val="1"/>
      <w:numFmt w:val="bullet"/>
      <w:lvlText w:val="•"/>
      <w:lvlJc w:val="left"/>
      <w:pPr>
        <w:tabs>
          <w:tab w:val="num" w:pos="2160"/>
        </w:tabs>
        <w:ind w:left="2160" w:hanging="360"/>
      </w:pPr>
      <w:rPr>
        <w:rFonts w:ascii="Arial" w:hAnsi="Arial" w:hint="default"/>
      </w:rPr>
    </w:lvl>
    <w:lvl w:ilvl="3" w:tplc="95AED8CA" w:tentative="1">
      <w:start w:val="1"/>
      <w:numFmt w:val="bullet"/>
      <w:lvlText w:val="•"/>
      <w:lvlJc w:val="left"/>
      <w:pPr>
        <w:tabs>
          <w:tab w:val="num" w:pos="2880"/>
        </w:tabs>
        <w:ind w:left="2880" w:hanging="360"/>
      </w:pPr>
      <w:rPr>
        <w:rFonts w:ascii="Arial" w:hAnsi="Arial" w:hint="default"/>
      </w:rPr>
    </w:lvl>
    <w:lvl w:ilvl="4" w:tplc="5246B1C0" w:tentative="1">
      <w:start w:val="1"/>
      <w:numFmt w:val="bullet"/>
      <w:lvlText w:val="•"/>
      <w:lvlJc w:val="left"/>
      <w:pPr>
        <w:tabs>
          <w:tab w:val="num" w:pos="3600"/>
        </w:tabs>
        <w:ind w:left="3600" w:hanging="360"/>
      </w:pPr>
      <w:rPr>
        <w:rFonts w:ascii="Arial" w:hAnsi="Arial" w:hint="default"/>
      </w:rPr>
    </w:lvl>
    <w:lvl w:ilvl="5" w:tplc="9A5C4F9E" w:tentative="1">
      <w:start w:val="1"/>
      <w:numFmt w:val="bullet"/>
      <w:lvlText w:val="•"/>
      <w:lvlJc w:val="left"/>
      <w:pPr>
        <w:tabs>
          <w:tab w:val="num" w:pos="4320"/>
        </w:tabs>
        <w:ind w:left="4320" w:hanging="360"/>
      </w:pPr>
      <w:rPr>
        <w:rFonts w:ascii="Arial" w:hAnsi="Arial" w:hint="default"/>
      </w:rPr>
    </w:lvl>
    <w:lvl w:ilvl="6" w:tplc="D4CAD1DE" w:tentative="1">
      <w:start w:val="1"/>
      <w:numFmt w:val="bullet"/>
      <w:lvlText w:val="•"/>
      <w:lvlJc w:val="left"/>
      <w:pPr>
        <w:tabs>
          <w:tab w:val="num" w:pos="5040"/>
        </w:tabs>
        <w:ind w:left="5040" w:hanging="360"/>
      </w:pPr>
      <w:rPr>
        <w:rFonts w:ascii="Arial" w:hAnsi="Arial" w:hint="default"/>
      </w:rPr>
    </w:lvl>
    <w:lvl w:ilvl="7" w:tplc="EFD43BE6" w:tentative="1">
      <w:start w:val="1"/>
      <w:numFmt w:val="bullet"/>
      <w:lvlText w:val="•"/>
      <w:lvlJc w:val="left"/>
      <w:pPr>
        <w:tabs>
          <w:tab w:val="num" w:pos="5760"/>
        </w:tabs>
        <w:ind w:left="5760" w:hanging="360"/>
      </w:pPr>
      <w:rPr>
        <w:rFonts w:ascii="Arial" w:hAnsi="Arial" w:hint="default"/>
      </w:rPr>
    </w:lvl>
    <w:lvl w:ilvl="8" w:tplc="604EF8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F7AEA"/>
    <w:multiLevelType w:val="hybridMultilevel"/>
    <w:tmpl w:val="88489BC4"/>
    <w:lvl w:ilvl="0" w:tplc="140ED0AC">
      <w:start w:val="1"/>
      <w:numFmt w:val="bullet"/>
      <w:lvlText w:val="•"/>
      <w:lvlJc w:val="left"/>
      <w:pPr>
        <w:tabs>
          <w:tab w:val="num" w:pos="720"/>
        </w:tabs>
        <w:ind w:left="720" w:hanging="360"/>
      </w:pPr>
      <w:rPr>
        <w:rFonts w:ascii="Arial" w:hAnsi="Arial" w:hint="default"/>
      </w:rPr>
    </w:lvl>
    <w:lvl w:ilvl="1" w:tplc="F1F266E0">
      <w:start w:val="1"/>
      <w:numFmt w:val="bullet"/>
      <w:lvlText w:val="•"/>
      <w:lvlJc w:val="left"/>
      <w:pPr>
        <w:tabs>
          <w:tab w:val="num" w:pos="1440"/>
        </w:tabs>
        <w:ind w:left="1440" w:hanging="360"/>
      </w:pPr>
      <w:rPr>
        <w:rFonts w:ascii="Arial" w:hAnsi="Arial" w:hint="default"/>
      </w:rPr>
    </w:lvl>
    <w:lvl w:ilvl="2" w:tplc="FD3A1D60">
      <w:start w:val="1"/>
      <w:numFmt w:val="bullet"/>
      <w:lvlText w:val="•"/>
      <w:lvlJc w:val="left"/>
      <w:pPr>
        <w:tabs>
          <w:tab w:val="num" w:pos="2160"/>
        </w:tabs>
        <w:ind w:left="2160" w:hanging="360"/>
      </w:pPr>
      <w:rPr>
        <w:rFonts w:ascii="Arial" w:hAnsi="Arial" w:hint="default"/>
      </w:rPr>
    </w:lvl>
    <w:lvl w:ilvl="3" w:tplc="5C6E3BC4" w:tentative="1">
      <w:start w:val="1"/>
      <w:numFmt w:val="bullet"/>
      <w:lvlText w:val="•"/>
      <w:lvlJc w:val="left"/>
      <w:pPr>
        <w:tabs>
          <w:tab w:val="num" w:pos="2880"/>
        </w:tabs>
        <w:ind w:left="2880" w:hanging="360"/>
      </w:pPr>
      <w:rPr>
        <w:rFonts w:ascii="Arial" w:hAnsi="Arial" w:hint="default"/>
      </w:rPr>
    </w:lvl>
    <w:lvl w:ilvl="4" w:tplc="2E5260BC" w:tentative="1">
      <w:start w:val="1"/>
      <w:numFmt w:val="bullet"/>
      <w:lvlText w:val="•"/>
      <w:lvlJc w:val="left"/>
      <w:pPr>
        <w:tabs>
          <w:tab w:val="num" w:pos="3600"/>
        </w:tabs>
        <w:ind w:left="3600" w:hanging="360"/>
      </w:pPr>
      <w:rPr>
        <w:rFonts w:ascii="Arial" w:hAnsi="Arial" w:hint="default"/>
      </w:rPr>
    </w:lvl>
    <w:lvl w:ilvl="5" w:tplc="68760EA6" w:tentative="1">
      <w:start w:val="1"/>
      <w:numFmt w:val="bullet"/>
      <w:lvlText w:val="•"/>
      <w:lvlJc w:val="left"/>
      <w:pPr>
        <w:tabs>
          <w:tab w:val="num" w:pos="4320"/>
        </w:tabs>
        <w:ind w:left="4320" w:hanging="360"/>
      </w:pPr>
      <w:rPr>
        <w:rFonts w:ascii="Arial" w:hAnsi="Arial" w:hint="default"/>
      </w:rPr>
    </w:lvl>
    <w:lvl w:ilvl="6" w:tplc="4882FEA0" w:tentative="1">
      <w:start w:val="1"/>
      <w:numFmt w:val="bullet"/>
      <w:lvlText w:val="•"/>
      <w:lvlJc w:val="left"/>
      <w:pPr>
        <w:tabs>
          <w:tab w:val="num" w:pos="5040"/>
        </w:tabs>
        <w:ind w:left="5040" w:hanging="360"/>
      </w:pPr>
      <w:rPr>
        <w:rFonts w:ascii="Arial" w:hAnsi="Arial" w:hint="default"/>
      </w:rPr>
    </w:lvl>
    <w:lvl w:ilvl="7" w:tplc="CC0A2A66" w:tentative="1">
      <w:start w:val="1"/>
      <w:numFmt w:val="bullet"/>
      <w:lvlText w:val="•"/>
      <w:lvlJc w:val="left"/>
      <w:pPr>
        <w:tabs>
          <w:tab w:val="num" w:pos="5760"/>
        </w:tabs>
        <w:ind w:left="5760" w:hanging="360"/>
      </w:pPr>
      <w:rPr>
        <w:rFonts w:ascii="Arial" w:hAnsi="Arial" w:hint="default"/>
      </w:rPr>
    </w:lvl>
    <w:lvl w:ilvl="8" w:tplc="FD72C9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6F72CF"/>
    <w:multiLevelType w:val="hybridMultilevel"/>
    <w:tmpl w:val="8ED6101E"/>
    <w:lvl w:ilvl="0" w:tplc="AB102C32">
      <w:start w:val="1"/>
      <w:numFmt w:val="bullet"/>
      <w:lvlText w:val="•"/>
      <w:lvlJc w:val="left"/>
      <w:pPr>
        <w:tabs>
          <w:tab w:val="num" w:pos="720"/>
        </w:tabs>
        <w:ind w:left="720" w:hanging="360"/>
      </w:pPr>
      <w:rPr>
        <w:rFonts w:ascii="Arial" w:hAnsi="Arial" w:hint="default"/>
      </w:rPr>
    </w:lvl>
    <w:lvl w:ilvl="1" w:tplc="07BE83FE" w:tentative="1">
      <w:start w:val="1"/>
      <w:numFmt w:val="bullet"/>
      <w:lvlText w:val="•"/>
      <w:lvlJc w:val="left"/>
      <w:pPr>
        <w:tabs>
          <w:tab w:val="num" w:pos="1440"/>
        </w:tabs>
        <w:ind w:left="1440" w:hanging="360"/>
      </w:pPr>
      <w:rPr>
        <w:rFonts w:ascii="Arial" w:hAnsi="Arial" w:hint="default"/>
      </w:rPr>
    </w:lvl>
    <w:lvl w:ilvl="2" w:tplc="1F160638" w:tentative="1">
      <w:start w:val="1"/>
      <w:numFmt w:val="bullet"/>
      <w:lvlText w:val="•"/>
      <w:lvlJc w:val="left"/>
      <w:pPr>
        <w:tabs>
          <w:tab w:val="num" w:pos="2160"/>
        </w:tabs>
        <w:ind w:left="2160" w:hanging="360"/>
      </w:pPr>
      <w:rPr>
        <w:rFonts w:ascii="Arial" w:hAnsi="Arial" w:hint="default"/>
      </w:rPr>
    </w:lvl>
    <w:lvl w:ilvl="3" w:tplc="E9227834" w:tentative="1">
      <w:start w:val="1"/>
      <w:numFmt w:val="bullet"/>
      <w:lvlText w:val="•"/>
      <w:lvlJc w:val="left"/>
      <w:pPr>
        <w:tabs>
          <w:tab w:val="num" w:pos="2880"/>
        </w:tabs>
        <w:ind w:left="2880" w:hanging="360"/>
      </w:pPr>
      <w:rPr>
        <w:rFonts w:ascii="Arial" w:hAnsi="Arial" w:hint="default"/>
      </w:rPr>
    </w:lvl>
    <w:lvl w:ilvl="4" w:tplc="073E3A6E" w:tentative="1">
      <w:start w:val="1"/>
      <w:numFmt w:val="bullet"/>
      <w:lvlText w:val="•"/>
      <w:lvlJc w:val="left"/>
      <w:pPr>
        <w:tabs>
          <w:tab w:val="num" w:pos="3600"/>
        </w:tabs>
        <w:ind w:left="3600" w:hanging="360"/>
      </w:pPr>
      <w:rPr>
        <w:rFonts w:ascii="Arial" w:hAnsi="Arial" w:hint="default"/>
      </w:rPr>
    </w:lvl>
    <w:lvl w:ilvl="5" w:tplc="15B06DCA" w:tentative="1">
      <w:start w:val="1"/>
      <w:numFmt w:val="bullet"/>
      <w:lvlText w:val="•"/>
      <w:lvlJc w:val="left"/>
      <w:pPr>
        <w:tabs>
          <w:tab w:val="num" w:pos="4320"/>
        </w:tabs>
        <w:ind w:left="4320" w:hanging="360"/>
      </w:pPr>
      <w:rPr>
        <w:rFonts w:ascii="Arial" w:hAnsi="Arial" w:hint="default"/>
      </w:rPr>
    </w:lvl>
    <w:lvl w:ilvl="6" w:tplc="48D0C5EC" w:tentative="1">
      <w:start w:val="1"/>
      <w:numFmt w:val="bullet"/>
      <w:lvlText w:val="•"/>
      <w:lvlJc w:val="left"/>
      <w:pPr>
        <w:tabs>
          <w:tab w:val="num" w:pos="5040"/>
        </w:tabs>
        <w:ind w:left="5040" w:hanging="360"/>
      </w:pPr>
      <w:rPr>
        <w:rFonts w:ascii="Arial" w:hAnsi="Arial" w:hint="default"/>
      </w:rPr>
    </w:lvl>
    <w:lvl w:ilvl="7" w:tplc="617E7CE0" w:tentative="1">
      <w:start w:val="1"/>
      <w:numFmt w:val="bullet"/>
      <w:lvlText w:val="•"/>
      <w:lvlJc w:val="left"/>
      <w:pPr>
        <w:tabs>
          <w:tab w:val="num" w:pos="5760"/>
        </w:tabs>
        <w:ind w:left="5760" w:hanging="360"/>
      </w:pPr>
      <w:rPr>
        <w:rFonts w:ascii="Arial" w:hAnsi="Arial" w:hint="default"/>
      </w:rPr>
    </w:lvl>
    <w:lvl w:ilvl="8" w:tplc="26BE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885C96"/>
    <w:multiLevelType w:val="hybridMultilevel"/>
    <w:tmpl w:val="80024B7A"/>
    <w:lvl w:ilvl="0" w:tplc="D576C5D0">
      <w:start w:val="1"/>
      <w:numFmt w:val="bullet"/>
      <w:lvlText w:val="•"/>
      <w:lvlJc w:val="left"/>
      <w:pPr>
        <w:tabs>
          <w:tab w:val="num" w:pos="720"/>
        </w:tabs>
        <w:ind w:left="720" w:hanging="360"/>
      </w:pPr>
      <w:rPr>
        <w:rFonts w:ascii="Arial" w:hAnsi="Arial" w:hint="default"/>
      </w:rPr>
    </w:lvl>
    <w:lvl w:ilvl="1" w:tplc="6D5A9B9E">
      <w:start w:val="1"/>
      <w:numFmt w:val="bullet"/>
      <w:lvlText w:val="•"/>
      <w:lvlJc w:val="left"/>
      <w:pPr>
        <w:tabs>
          <w:tab w:val="num" w:pos="1440"/>
        </w:tabs>
        <w:ind w:left="1440" w:hanging="360"/>
      </w:pPr>
      <w:rPr>
        <w:rFonts w:ascii="Arial" w:hAnsi="Arial" w:hint="default"/>
      </w:rPr>
    </w:lvl>
    <w:lvl w:ilvl="2" w:tplc="9536BD34">
      <w:start w:val="1"/>
      <w:numFmt w:val="bullet"/>
      <w:lvlText w:val="•"/>
      <w:lvlJc w:val="left"/>
      <w:pPr>
        <w:tabs>
          <w:tab w:val="num" w:pos="2160"/>
        </w:tabs>
        <w:ind w:left="2160" w:hanging="360"/>
      </w:pPr>
      <w:rPr>
        <w:rFonts w:ascii="Arial" w:hAnsi="Arial" w:hint="default"/>
      </w:rPr>
    </w:lvl>
    <w:lvl w:ilvl="3" w:tplc="01F2E350" w:tentative="1">
      <w:start w:val="1"/>
      <w:numFmt w:val="bullet"/>
      <w:lvlText w:val="•"/>
      <w:lvlJc w:val="left"/>
      <w:pPr>
        <w:tabs>
          <w:tab w:val="num" w:pos="2880"/>
        </w:tabs>
        <w:ind w:left="2880" w:hanging="360"/>
      </w:pPr>
      <w:rPr>
        <w:rFonts w:ascii="Arial" w:hAnsi="Arial" w:hint="default"/>
      </w:rPr>
    </w:lvl>
    <w:lvl w:ilvl="4" w:tplc="FD149D66" w:tentative="1">
      <w:start w:val="1"/>
      <w:numFmt w:val="bullet"/>
      <w:lvlText w:val="•"/>
      <w:lvlJc w:val="left"/>
      <w:pPr>
        <w:tabs>
          <w:tab w:val="num" w:pos="3600"/>
        </w:tabs>
        <w:ind w:left="3600" w:hanging="360"/>
      </w:pPr>
      <w:rPr>
        <w:rFonts w:ascii="Arial" w:hAnsi="Arial" w:hint="default"/>
      </w:rPr>
    </w:lvl>
    <w:lvl w:ilvl="5" w:tplc="000294B6" w:tentative="1">
      <w:start w:val="1"/>
      <w:numFmt w:val="bullet"/>
      <w:lvlText w:val="•"/>
      <w:lvlJc w:val="left"/>
      <w:pPr>
        <w:tabs>
          <w:tab w:val="num" w:pos="4320"/>
        </w:tabs>
        <w:ind w:left="4320" w:hanging="360"/>
      </w:pPr>
      <w:rPr>
        <w:rFonts w:ascii="Arial" w:hAnsi="Arial" w:hint="default"/>
      </w:rPr>
    </w:lvl>
    <w:lvl w:ilvl="6" w:tplc="9D88E098" w:tentative="1">
      <w:start w:val="1"/>
      <w:numFmt w:val="bullet"/>
      <w:lvlText w:val="•"/>
      <w:lvlJc w:val="left"/>
      <w:pPr>
        <w:tabs>
          <w:tab w:val="num" w:pos="5040"/>
        </w:tabs>
        <w:ind w:left="5040" w:hanging="360"/>
      </w:pPr>
      <w:rPr>
        <w:rFonts w:ascii="Arial" w:hAnsi="Arial" w:hint="default"/>
      </w:rPr>
    </w:lvl>
    <w:lvl w:ilvl="7" w:tplc="B866A1E8" w:tentative="1">
      <w:start w:val="1"/>
      <w:numFmt w:val="bullet"/>
      <w:lvlText w:val="•"/>
      <w:lvlJc w:val="left"/>
      <w:pPr>
        <w:tabs>
          <w:tab w:val="num" w:pos="5760"/>
        </w:tabs>
        <w:ind w:left="5760" w:hanging="360"/>
      </w:pPr>
      <w:rPr>
        <w:rFonts w:ascii="Arial" w:hAnsi="Arial" w:hint="default"/>
      </w:rPr>
    </w:lvl>
    <w:lvl w:ilvl="8" w:tplc="A978C9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923C2D"/>
    <w:multiLevelType w:val="hybridMultilevel"/>
    <w:tmpl w:val="92A42ECE"/>
    <w:lvl w:ilvl="0" w:tplc="E2B61826">
      <w:start w:val="1"/>
      <w:numFmt w:val="bullet"/>
      <w:lvlText w:val="•"/>
      <w:lvlJc w:val="left"/>
      <w:pPr>
        <w:tabs>
          <w:tab w:val="num" w:pos="1080"/>
        </w:tabs>
        <w:ind w:left="1080" w:hanging="360"/>
      </w:pPr>
      <w:rPr>
        <w:rFonts w:ascii="Arial" w:hAnsi="Arial" w:hint="default"/>
      </w:rPr>
    </w:lvl>
    <w:lvl w:ilvl="1" w:tplc="B2063D5A" w:tentative="1">
      <w:start w:val="1"/>
      <w:numFmt w:val="bullet"/>
      <w:lvlText w:val="•"/>
      <w:lvlJc w:val="left"/>
      <w:pPr>
        <w:tabs>
          <w:tab w:val="num" w:pos="1800"/>
        </w:tabs>
        <w:ind w:left="1800" w:hanging="360"/>
      </w:pPr>
      <w:rPr>
        <w:rFonts w:ascii="Arial" w:hAnsi="Arial" w:hint="default"/>
      </w:rPr>
    </w:lvl>
    <w:lvl w:ilvl="2" w:tplc="1D187488" w:tentative="1">
      <w:start w:val="1"/>
      <w:numFmt w:val="bullet"/>
      <w:lvlText w:val="•"/>
      <w:lvlJc w:val="left"/>
      <w:pPr>
        <w:tabs>
          <w:tab w:val="num" w:pos="2520"/>
        </w:tabs>
        <w:ind w:left="2520" w:hanging="360"/>
      </w:pPr>
      <w:rPr>
        <w:rFonts w:ascii="Arial" w:hAnsi="Arial" w:hint="default"/>
      </w:rPr>
    </w:lvl>
    <w:lvl w:ilvl="3" w:tplc="22EC446C" w:tentative="1">
      <w:start w:val="1"/>
      <w:numFmt w:val="bullet"/>
      <w:lvlText w:val="•"/>
      <w:lvlJc w:val="left"/>
      <w:pPr>
        <w:tabs>
          <w:tab w:val="num" w:pos="3240"/>
        </w:tabs>
        <w:ind w:left="3240" w:hanging="360"/>
      </w:pPr>
      <w:rPr>
        <w:rFonts w:ascii="Arial" w:hAnsi="Arial" w:hint="default"/>
      </w:rPr>
    </w:lvl>
    <w:lvl w:ilvl="4" w:tplc="4C5A929E" w:tentative="1">
      <w:start w:val="1"/>
      <w:numFmt w:val="bullet"/>
      <w:lvlText w:val="•"/>
      <w:lvlJc w:val="left"/>
      <w:pPr>
        <w:tabs>
          <w:tab w:val="num" w:pos="3960"/>
        </w:tabs>
        <w:ind w:left="3960" w:hanging="360"/>
      </w:pPr>
      <w:rPr>
        <w:rFonts w:ascii="Arial" w:hAnsi="Arial" w:hint="default"/>
      </w:rPr>
    </w:lvl>
    <w:lvl w:ilvl="5" w:tplc="40F2F330" w:tentative="1">
      <w:start w:val="1"/>
      <w:numFmt w:val="bullet"/>
      <w:lvlText w:val="•"/>
      <w:lvlJc w:val="left"/>
      <w:pPr>
        <w:tabs>
          <w:tab w:val="num" w:pos="4680"/>
        </w:tabs>
        <w:ind w:left="4680" w:hanging="360"/>
      </w:pPr>
      <w:rPr>
        <w:rFonts w:ascii="Arial" w:hAnsi="Arial" w:hint="default"/>
      </w:rPr>
    </w:lvl>
    <w:lvl w:ilvl="6" w:tplc="1F5EAB52" w:tentative="1">
      <w:start w:val="1"/>
      <w:numFmt w:val="bullet"/>
      <w:lvlText w:val="•"/>
      <w:lvlJc w:val="left"/>
      <w:pPr>
        <w:tabs>
          <w:tab w:val="num" w:pos="5400"/>
        </w:tabs>
        <w:ind w:left="5400" w:hanging="360"/>
      </w:pPr>
      <w:rPr>
        <w:rFonts w:ascii="Arial" w:hAnsi="Arial" w:hint="default"/>
      </w:rPr>
    </w:lvl>
    <w:lvl w:ilvl="7" w:tplc="0ADAA484" w:tentative="1">
      <w:start w:val="1"/>
      <w:numFmt w:val="bullet"/>
      <w:lvlText w:val="•"/>
      <w:lvlJc w:val="left"/>
      <w:pPr>
        <w:tabs>
          <w:tab w:val="num" w:pos="6120"/>
        </w:tabs>
        <w:ind w:left="6120" w:hanging="360"/>
      </w:pPr>
      <w:rPr>
        <w:rFonts w:ascii="Arial" w:hAnsi="Arial" w:hint="default"/>
      </w:rPr>
    </w:lvl>
    <w:lvl w:ilvl="8" w:tplc="C89ED4A0"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75214B72"/>
    <w:multiLevelType w:val="hybridMultilevel"/>
    <w:tmpl w:val="17FED5C6"/>
    <w:lvl w:ilvl="0" w:tplc="A404C7B4">
      <w:start w:val="1"/>
      <w:numFmt w:val="bullet"/>
      <w:lvlText w:val="•"/>
      <w:lvlJc w:val="left"/>
      <w:pPr>
        <w:tabs>
          <w:tab w:val="num" w:pos="720"/>
        </w:tabs>
        <w:ind w:left="720" w:hanging="360"/>
      </w:pPr>
      <w:rPr>
        <w:rFonts w:ascii="Arial" w:hAnsi="Arial" w:hint="default"/>
      </w:rPr>
    </w:lvl>
    <w:lvl w:ilvl="1" w:tplc="CF36C786">
      <w:start w:val="52"/>
      <w:numFmt w:val="bullet"/>
      <w:lvlText w:val="–"/>
      <w:lvlJc w:val="left"/>
      <w:pPr>
        <w:tabs>
          <w:tab w:val="num" w:pos="1440"/>
        </w:tabs>
        <w:ind w:left="1440" w:hanging="360"/>
      </w:pPr>
      <w:rPr>
        <w:rFonts w:ascii="Arial" w:hAnsi="Arial" w:hint="default"/>
      </w:rPr>
    </w:lvl>
    <w:lvl w:ilvl="2" w:tplc="1856F630" w:tentative="1">
      <w:start w:val="1"/>
      <w:numFmt w:val="bullet"/>
      <w:lvlText w:val="•"/>
      <w:lvlJc w:val="left"/>
      <w:pPr>
        <w:tabs>
          <w:tab w:val="num" w:pos="2160"/>
        </w:tabs>
        <w:ind w:left="2160" w:hanging="360"/>
      </w:pPr>
      <w:rPr>
        <w:rFonts w:ascii="Arial" w:hAnsi="Arial" w:hint="default"/>
      </w:rPr>
    </w:lvl>
    <w:lvl w:ilvl="3" w:tplc="4FB8C5A0" w:tentative="1">
      <w:start w:val="1"/>
      <w:numFmt w:val="bullet"/>
      <w:lvlText w:val="•"/>
      <w:lvlJc w:val="left"/>
      <w:pPr>
        <w:tabs>
          <w:tab w:val="num" w:pos="2880"/>
        </w:tabs>
        <w:ind w:left="2880" w:hanging="360"/>
      </w:pPr>
      <w:rPr>
        <w:rFonts w:ascii="Arial" w:hAnsi="Arial" w:hint="default"/>
      </w:rPr>
    </w:lvl>
    <w:lvl w:ilvl="4" w:tplc="198A33E0" w:tentative="1">
      <w:start w:val="1"/>
      <w:numFmt w:val="bullet"/>
      <w:lvlText w:val="•"/>
      <w:lvlJc w:val="left"/>
      <w:pPr>
        <w:tabs>
          <w:tab w:val="num" w:pos="3600"/>
        </w:tabs>
        <w:ind w:left="3600" w:hanging="360"/>
      </w:pPr>
      <w:rPr>
        <w:rFonts w:ascii="Arial" w:hAnsi="Arial" w:hint="default"/>
      </w:rPr>
    </w:lvl>
    <w:lvl w:ilvl="5" w:tplc="6302A654" w:tentative="1">
      <w:start w:val="1"/>
      <w:numFmt w:val="bullet"/>
      <w:lvlText w:val="•"/>
      <w:lvlJc w:val="left"/>
      <w:pPr>
        <w:tabs>
          <w:tab w:val="num" w:pos="4320"/>
        </w:tabs>
        <w:ind w:left="4320" w:hanging="360"/>
      </w:pPr>
      <w:rPr>
        <w:rFonts w:ascii="Arial" w:hAnsi="Arial" w:hint="default"/>
      </w:rPr>
    </w:lvl>
    <w:lvl w:ilvl="6" w:tplc="6CC8B71A" w:tentative="1">
      <w:start w:val="1"/>
      <w:numFmt w:val="bullet"/>
      <w:lvlText w:val="•"/>
      <w:lvlJc w:val="left"/>
      <w:pPr>
        <w:tabs>
          <w:tab w:val="num" w:pos="5040"/>
        </w:tabs>
        <w:ind w:left="5040" w:hanging="360"/>
      </w:pPr>
      <w:rPr>
        <w:rFonts w:ascii="Arial" w:hAnsi="Arial" w:hint="default"/>
      </w:rPr>
    </w:lvl>
    <w:lvl w:ilvl="7" w:tplc="CE5E7CD6" w:tentative="1">
      <w:start w:val="1"/>
      <w:numFmt w:val="bullet"/>
      <w:lvlText w:val="•"/>
      <w:lvlJc w:val="left"/>
      <w:pPr>
        <w:tabs>
          <w:tab w:val="num" w:pos="5760"/>
        </w:tabs>
        <w:ind w:left="5760" w:hanging="360"/>
      </w:pPr>
      <w:rPr>
        <w:rFonts w:ascii="Arial" w:hAnsi="Arial" w:hint="default"/>
      </w:rPr>
    </w:lvl>
    <w:lvl w:ilvl="8" w:tplc="B0EE4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5"/>
  </w:num>
  <w:num w:numId="5">
    <w:abstractNumId w:val="14"/>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18"/>
  </w:num>
  <w:num w:numId="16">
    <w:abstractNumId w:val="4"/>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3"/>
  </w:num>
  <w:num w:numId="23">
    <w:abstractNumId w:val="17"/>
  </w:num>
  <w:num w:numId="24">
    <w:abstractNumId w:val="10"/>
  </w:num>
  <w:num w:numId="25">
    <w:abstractNumId w:val="7"/>
  </w:num>
  <w:num w:numId="26">
    <w:abstractNumId w:val="15"/>
  </w:num>
  <w:num w:numId="27">
    <w:abstractNumId w:val="0"/>
  </w:num>
  <w:num w:numId="28">
    <w:abstractNumId w:val="16"/>
  </w:num>
  <w:num w:numId="2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64DF"/>
    <w:rsid w:val="000439D8"/>
    <w:rsid w:val="00056F56"/>
    <w:rsid w:val="0008612A"/>
    <w:rsid w:val="000B0056"/>
    <w:rsid w:val="000C316A"/>
    <w:rsid w:val="000D4669"/>
    <w:rsid w:val="0014324A"/>
    <w:rsid w:val="00153891"/>
    <w:rsid w:val="001745F8"/>
    <w:rsid w:val="00182BC4"/>
    <w:rsid w:val="001838CF"/>
    <w:rsid w:val="00183D8D"/>
    <w:rsid w:val="001A3BA4"/>
    <w:rsid w:val="001B0E42"/>
    <w:rsid w:val="001B7A0A"/>
    <w:rsid w:val="001D31A1"/>
    <w:rsid w:val="001E30F6"/>
    <w:rsid w:val="00203AFB"/>
    <w:rsid w:val="00223F42"/>
    <w:rsid w:val="00235F5C"/>
    <w:rsid w:val="002B4922"/>
    <w:rsid w:val="002C2D19"/>
    <w:rsid w:val="002D10FA"/>
    <w:rsid w:val="002D1346"/>
    <w:rsid w:val="002D4C55"/>
    <w:rsid w:val="00390B10"/>
    <w:rsid w:val="003B659E"/>
    <w:rsid w:val="003F0CD1"/>
    <w:rsid w:val="00417770"/>
    <w:rsid w:val="00422DF3"/>
    <w:rsid w:val="0043750A"/>
    <w:rsid w:val="00441279"/>
    <w:rsid w:val="00475939"/>
    <w:rsid w:val="004E5E66"/>
    <w:rsid w:val="004F01BC"/>
    <w:rsid w:val="00503B4D"/>
    <w:rsid w:val="00504EE9"/>
    <w:rsid w:val="0054442C"/>
    <w:rsid w:val="00550285"/>
    <w:rsid w:val="00552BC4"/>
    <w:rsid w:val="005836F8"/>
    <w:rsid w:val="005918FA"/>
    <w:rsid w:val="00596F14"/>
    <w:rsid w:val="005C23A4"/>
    <w:rsid w:val="005D1CDF"/>
    <w:rsid w:val="005E61A8"/>
    <w:rsid w:val="005F6419"/>
    <w:rsid w:val="00617400"/>
    <w:rsid w:val="00664950"/>
    <w:rsid w:val="00683220"/>
    <w:rsid w:val="00687FA0"/>
    <w:rsid w:val="006B7010"/>
    <w:rsid w:val="006F095B"/>
    <w:rsid w:val="006F7651"/>
    <w:rsid w:val="007145FF"/>
    <w:rsid w:val="00746C51"/>
    <w:rsid w:val="00751515"/>
    <w:rsid w:val="00756BF9"/>
    <w:rsid w:val="00757587"/>
    <w:rsid w:val="00785232"/>
    <w:rsid w:val="007A6E80"/>
    <w:rsid w:val="007C3ED0"/>
    <w:rsid w:val="00806A76"/>
    <w:rsid w:val="00811C9D"/>
    <w:rsid w:val="00816C80"/>
    <w:rsid w:val="00841BCD"/>
    <w:rsid w:val="00842BE6"/>
    <w:rsid w:val="00851A8E"/>
    <w:rsid w:val="008826C1"/>
    <w:rsid w:val="008B0FB0"/>
    <w:rsid w:val="008C49D9"/>
    <w:rsid w:val="008C5732"/>
    <w:rsid w:val="008D1FF1"/>
    <w:rsid w:val="008F1DA8"/>
    <w:rsid w:val="0090091A"/>
    <w:rsid w:val="009042BD"/>
    <w:rsid w:val="00923F51"/>
    <w:rsid w:val="00931DF4"/>
    <w:rsid w:val="00942FD3"/>
    <w:rsid w:val="009762C5"/>
    <w:rsid w:val="00977E1D"/>
    <w:rsid w:val="009B0147"/>
    <w:rsid w:val="009D2891"/>
    <w:rsid w:val="009D4897"/>
    <w:rsid w:val="00A22B78"/>
    <w:rsid w:val="00A25AE5"/>
    <w:rsid w:val="00A37002"/>
    <w:rsid w:val="00A8290C"/>
    <w:rsid w:val="00AA1B0E"/>
    <w:rsid w:val="00AC5CA7"/>
    <w:rsid w:val="00AE56B1"/>
    <w:rsid w:val="00B017D6"/>
    <w:rsid w:val="00B73862"/>
    <w:rsid w:val="00B971DB"/>
    <w:rsid w:val="00BA6E48"/>
    <w:rsid w:val="00BC170C"/>
    <w:rsid w:val="00BC2C88"/>
    <w:rsid w:val="00BF2218"/>
    <w:rsid w:val="00C413AE"/>
    <w:rsid w:val="00C81ED4"/>
    <w:rsid w:val="00CA61E7"/>
    <w:rsid w:val="00CC3B25"/>
    <w:rsid w:val="00CD7492"/>
    <w:rsid w:val="00CE3A6B"/>
    <w:rsid w:val="00D00211"/>
    <w:rsid w:val="00D06309"/>
    <w:rsid w:val="00D351EA"/>
    <w:rsid w:val="00D36293"/>
    <w:rsid w:val="00D43403"/>
    <w:rsid w:val="00D56A4A"/>
    <w:rsid w:val="00D62E71"/>
    <w:rsid w:val="00D740CA"/>
    <w:rsid w:val="00D85728"/>
    <w:rsid w:val="00DF2997"/>
    <w:rsid w:val="00EC7BC3"/>
    <w:rsid w:val="00ED7600"/>
    <w:rsid w:val="00F040E0"/>
    <w:rsid w:val="00F1362C"/>
    <w:rsid w:val="00F2733E"/>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EBD5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4F01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CA61E7"/>
    <w:pPr>
      <w:spacing w:before="100" w:beforeAutospacing="1" w:after="100" w:afterAutospacing="1" w:line="240" w:lineRule="auto"/>
    </w:pPr>
    <w:rPr>
      <w:rFonts w:eastAsiaTheme="minorEastAsia" w:cs="Times New Roman"/>
      <w:sz w:val="24"/>
      <w:szCs w:val="24"/>
    </w:rPr>
  </w:style>
  <w:style w:type="character" w:customStyle="1" w:styleId="Heading3Char">
    <w:name w:val="Heading 3 Char"/>
    <w:basedOn w:val="DefaultParagraphFont"/>
    <w:link w:val="Heading3"/>
    <w:uiPriority w:val="9"/>
    <w:semiHidden/>
    <w:rsid w:val="004F01B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4F01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01BC"/>
    <w:rPr>
      <w:rFonts w:ascii="Segoe UI" w:hAnsi="Segoe UI" w:cs="Segoe UI"/>
      <w:sz w:val="18"/>
      <w:szCs w:val="18"/>
    </w:rPr>
  </w:style>
  <w:style w:type="character" w:styleId="CommentReference">
    <w:name w:val="annotation reference"/>
    <w:basedOn w:val="DefaultParagraphFont"/>
    <w:uiPriority w:val="99"/>
    <w:semiHidden/>
    <w:unhideWhenUsed/>
    <w:rsid w:val="000D4669"/>
    <w:rPr>
      <w:sz w:val="16"/>
      <w:szCs w:val="16"/>
    </w:rPr>
  </w:style>
  <w:style w:type="paragraph" w:styleId="CommentText">
    <w:name w:val="annotation text"/>
    <w:basedOn w:val="Normal"/>
    <w:link w:val="CommentTextChar"/>
    <w:uiPriority w:val="99"/>
    <w:semiHidden/>
    <w:unhideWhenUsed/>
    <w:rsid w:val="000D4669"/>
    <w:pPr>
      <w:spacing w:line="240" w:lineRule="auto"/>
    </w:pPr>
    <w:rPr>
      <w:szCs w:val="20"/>
    </w:rPr>
  </w:style>
  <w:style w:type="character" w:customStyle="1" w:styleId="CommentTextChar">
    <w:name w:val="Comment Text Char"/>
    <w:basedOn w:val="DefaultParagraphFont"/>
    <w:link w:val="CommentText"/>
    <w:uiPriority w:val="99"/>
    <w:semiHidden/>
    <w:rsid w:val="000D466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D4669"/>
    <w:rPr>
      <w:b/>
      <w:bCs/>
    </w:rPr>
  </w:style>
  <w:style w:type="character" w:customStyle="1" w:styleId="CommentSubjectChar">
    <w:name w:val="Comment Subject Char"/>
    <w:basedOn w:val="CommentTextChar"/>
    <w:link w:val="CommentSubject"/>
    <w:uiPriority w:val="99"/>
    <w:semiHidden/>
    <w:rsid w:val="000D4669"/>
    <w:rPr>
      <w:rFonts w:ascii="Times New Roman" w:hAnsi="Times New Roman"/>
      <w:b/>
      <w:bCs/>
      <w:sz w:val="20"/>
      <w:szCs w:val="20"/>
    </w:rPr>
  </w:style>
  <w:style w:type="paragraph" w:customStyle="1" w:styleId="TAH">
    <w:name w:val="TAH"/>
    <w:basedOn w:val="TAC"/>
    <w:link w:val="TAHCar"/>
    <w:rsid w:val="008D1FF1"/>
    <w:rPr>
      <w:b/>
    </w:rPr>
  </w:style>
  <w:style w:type="paragraph" w:customStyle="1" w:styleId="TAC">
    <w:name w:val="TAC"/>
    <w:basedOn w:val="Normal"/>
    <w:link w:val="TACChar"/>
    <w:rsid w:val="008D1FF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8D1FF1"/>
    <w:rPr>
      <w:rFonts w:ascii="Arial" w:eastAsia="SimSun" w:hAnsi="Arial" w:cs="Times New Roman"/>
      <w:sz w:val="18"/>
      <w:szCs w:val="20"/>
      <w:lang w:val="en-GB"/>
    </w:rPr>
  </w:style>
  <w:style w:type="character" w:customStyle="1" w:styleId="TAHCar">
    <w:name w:val="TAH Car"/>
    <w:link w:val="TAH"/>
    <w:qFormat/>
    <w:rsid w:val="008D1FF1"/>
    <w:rPr>
      <w:rFonts w:ascii="Arial" w:eastAsia="SimSun" w:hAnsi="Arial" w:cs="Times New Roman"/>
      <w:b/>
      <w:sz w:val="18"/>
      <w:szCs w:val="20"/>
      <w:lang w:val="en-GB"/>
    </w:rPr>
  </w:style>
  <w:style w:type="paragraph" w:customStyle="1" w:styleId="TH">
    <w:name w:val="TH"/>
    <w:basedOn w:val="Normal"/>
    <w:link w:val="THChar"/>
    <w:rsid w:val="008D1FF1"/>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rsid w:val="008D1FF1"/>
    <w:rPr>
      <w:rFonts w:ascii="Arial" w:eastAsia="SimSun" w:hAnsi="Arial" w:cs="Times New Roman"/>
      <w:b/>
      <w:sz w:val="20"/>
      <w:szCs w:val="20"/>
      <w:lang w:val="en-GB"/>
    </w:rPr>
  </w:style>
  <w:style w:type="paragraph" w:customStyle="1" w:styleId="TAN">
    <w:name w:val="TAN"/>
    <w:basedOn w:val="Normal"/>
    <w:link w:val="TANChar"/>
    <w:rsid w:val="008D1FF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8D1FF1"/>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488536">
      <w:bodyDiv w:val="1"/>
      <w:marLeft w:val="0"/>
      <w:marRight w:val="0"/>
      <w:marTop w:val="0"/>
      <w:marBottom w:val="0"/>
      <w:divBdr>
        <w:top w:val="none" w:sz="0" w:space="0" w:color="auto"/>
        <w:left w:val="none" w:sz="0" w:space="0" w:color="auto"/>
        <w:bottom w:val="none" w:sz="0" w:space="0" w:color="auto"/>
        <w:right w:val="none" w:sz="0" w:space="0" w:color="auto"/>
      </w:divBdr>
      <w:divsChild>
        <w:div w:id="270825435">
          <w:marLeft w:val="547"/>
          <w:marRight w:val="0"/>
          <w:marTop w:val="134"/>
          <w:marBottom w:val="0"/>
          <w:divBdr>
            <w:top w:val="none" w:sz="0" w:space="0" w:color="auto"/>
            <w:left w:val="none" w:sz="0" w:space="0" w:color="auto"/>
            <w:bottom w:val="none" w:sz="0" w:space="0" w:color="auto"/>
            <w:right w:val="none" w:sz="0" w:space="0" w:color="auto"/>
          </w:divBdr>
        </w:div>
        <w:div w:id="1118139608">
          <w:marLeft w:val="1166"/>
          <w:marRight w:val="0"/>
          <w:marTop w:val="115"/>
          <w:marBottom w:val="0"/>
          <w:divBdr>
            <w:top w:val="none" w:sz="0" w:space="0" w:color="auto"/>
            <w:left w:val="none" w:sz="0" w:space="0" w:color="auto"/>
            <w:bottom w:val="none" w:sz="0" w:space="0" w:color="auto"/>
            <w:right w:val="none" w:sz="0" w:space="0" w:color="auto"/>
          </w:divBdr>
        </w:div>
        <w:div w:id="1551382532">
          <w:marLeft w:val="547"/>
          <w:marRight w:val="0"/>
          <w:marTop w:val="134"/>
          <w:marBottom w:val="0"/>
          <w:divBdr>
            <w:top w:val="none" w:sz="0" w:space="0" w:color="auto"/>
            <w:left w:val="none" w:sz="0" w:space="0" w:color="auto"/>
            <w:bottom w:val="none" w:sz="0" w:space="0" w:color="auto"/>
            <w:right w:val="none" w:sz="0" w:space="0" w:color="auto"/>
          </w:divBdr>
        </w:div>
        <w:div w:id="522547929">
          <w:marLeft w:val="1166"/>
          <w:marRight w:val="0"/>
          <w:marTop w:val="115"/>
          <w:marBottom w:val="0"/>
          <w:divBdr>
            <w:top w:val="none" w:sz="0" w:space="0" w:color="auto"/>
            <w:left w:val="none" w:sz="0" w:space="0" w:color="auto"/>
            <w:bottom w:val="none" w:sz="0" w:space="0" w:color="auto"/>
            <w:right w:val="none" w:sz="0" w:space="0" w:color="auto"/>
          </w:divBdr>
        </w:div>
        <w:div w:id="1579974363">
          <w:marLeft w:val="1166"/>
          <w:marRight w:val="0"/>
          <w:marTop w:val="115"/>
          <w:marBottom w:val="0"/>
          <w:divBdr>
            <w:top w:val="none" w:sz="0" w:space="0" w:color="auto"/>
            <w:left w:val="none" w:sz="0" w:space="0" w:color="auto"/>
            <w:bottom w:val="none" w:sz="0" w:space="0" w:color="auto"/>
            <w:right w:val="none" w:sz="0" w:space="0" w:color="auto"/>
          </w:divBdr>
        </w:div>
      </w:divsChild>
    </w:div>
    <w:div w:id="1472095100">
      <w:bodyDiv w:val="1"/>
      <w:marLeft w:val="0"/>
      <w:marRight w:val="0"/>
      <w:marTop w:val="0"/>
      <w:marBottom w:val="0"/>
      <w:divBdr>
        <w:top w:val="none" w:sz="0" w:space="0" w:color="auto"/>
        <w:left w:val="none" w:sz="0" w:space="0" w:color="auto"/>
        <w:bottom w:val="none" w:sz="0" w:space="0" w:color="auto"/>
        <w:right w:val="none" w:sz="0" w:space="0" w:color="auto"/>
      </w:divBdr>
      <w:divsChild>
        <w:div w:id="374701842">
          <w:marLeft w:val="547"/>
          <w:marRight w:val="0"/>
          <w:marTop w:val="96"/>
          <w:marBottom w:val="0"/>
          <w:divBdr>
            <w:top w:val="none" w:sz="0" w:space="0" w:color="auto"/>
            <w:left w:val="none" w:sz="0" w:space="0" w:color="auto"/>
            <w:bottom w:val="none" w:sz="0" w:space="0" w:color="auto"/>
            <w:right w:val="none" w:sz="0" w:space="0" w:color="auto"/>
          </w:divBdr>
        </w:div>
        <w:div w:id="1421826610">
          <w:marLeft w:val="547"/>
          <w:marRight w:val="0"/>
          <w:marTop w:val="96"/>
          <w:marBottom w:val="0"/>
          <w:divBdr>
            <w:top w:val="none" w:sz="0" w:space="0" w:color="auto"/>
            <w:left w:val="none" w:sz="0" w:space="0" w:color="auto"/>
            <w:bottom w:val="none" w:sz="0" w:space="0" w:color="auto"/>
            <w:right w:val="none" w:sz="0" w:space="0" w:color="auto"/>
          </w:divBdr>
        </w:div>
        <w:div w:id="1056661624">
          <w:marLeft w:val="1166"/>
          <w:marRight w:val="0"/>
          <w:marTop w:val="77"/>
          <w:marBottom w:val="0"/>
          <w:divBdr>
            <w:top w:val="none" w:sz="0" w:space="0" w:color="auto"/>
            <w:left w:val="none" w:sz="0" w:space="0" w:color="auto"/>
            <w:bottom w:val="none" w:sz="0" w:space="0" w:color="auto"/>
            <w:right w:val="none" w:sz="0" w:space="0" w:color="auto"/>
          </w:divBdr>
        </w:div>
        <w:div w:id="791443752">
          <w:marLeft w:val="1166"/>
          <w:marRight w:val="0"/>
          <w:marTop w:val="77"/>
          <w:marBottom w:val="0"/>
          <w:divBdr>
            <w:top w:val="none" w:sz="0" w:space="0" w:color="auto"/>
            <w:left w:val="none" w:sz="0" w:space="0" w:color="auto"/>
            <w:bottom w:val="none" w:sz="0" w:space="0" w:color="auto"/>
            <w:right w:val="none" w:sz="0" w:space="0" w:color="auto"/>
          </w:divBdr>
        </w:div>
        <w:div w:id="492259972">
          <w:marLeft w:val="547"/>
          <w:marRight w:val="0"/>
          <w:marTop w:val="86"/>
          <w:marBottom w:val="0"/>
          <w:divBdr>
            <w:top w:val="none" w:sz="0" w:space="0" w:color="auto"/>
            <w:left w:val="none" w:sz="0" w:space="0" w:color="auto"/>
            <w:bottom w:val="none" w:sz="0" w:space="0" w:color="auto"/>
            <w:right w:val="none" w:sz="0" w:space="0" w:color="auto"/>
          </w:divBdr>
        </w:div>
      </w:divsChild>
    </w:div>
    <w:div w:id="1874923287">
      <w:bodyDiv w:val="1"/>
      <w:marLeft w:val="0"/>
      <w:marRight w:val="0"/>
      <w:marTop w:val="0"/>
      <w:marBottom w:val="0"/>
      <w:divBdr>
        <w:top w:val="none" w:sz="0" w:space="0" w:color="auto"/>
        <w:left w:val="none" w:sz="0" w:space="0" w:color="auto"/>
        <w:bottom w:val="none" w:sz="0" w:space="0" w:color="auto"/>
        <w:right w:val="none" w:sz="0" w:space="0" w:color="auto"/>
      </w:divBdr>
      <w:divsChild>
        <w:div w:id="735321885">
          <w:marLeft w:val="547"/>
          <w:marRight w:val="0"/>
          <w:marTop w:val="86"/>
          <w:marBottom w:val="0"/>
          <w:divBdr>
            <w:top w:val="none" w:sz="0" w:space="0" w:color="auto"/>
            <w:left w:val="none" w:sz="0" w:space="0" w:color="auto"/>
            <w:bottom w:val="none" w:sz="0" w:space="0" w:color="auto"/>
            <w:right w:val="none" w:sz="0" w:space="0" w:color="auto"/>
          </w:divBdr>
        </w:div>
        <w:div w:id="650912313">
          <w:marLeft w:val="547"/>
          <w:marRight w:val="0"/>
          <w:marTop w:val="86"/>
          <w:marBottom w:val="0"/>
          <w:divBdr>
            <w:top w:val="none" w:sz="0" w:space="0" w:color="auto"/>
            <w:left w:val="none" w:sz="0" w:space="0" w:color="auto"/>
            <w:bottom w:val="none" w:sz="0" w:space="0" w:color="auto"/>
            <w:right w:val="none" w:sz="0" w:space="0" w:color="auto"/>
          </w:divBdr>
        </w:div>
      </w:divsChild>
    </w:div>
    <w:div w:id="2124154941">
      <w:bodyDiv w:val="1"/>
      <w:marLeft w:val="0"/>
      <w:marRight w:val="0"/>
      <w:marTop w:val="0"/>
      <w:marBottom w:val="0"/>
      <w:divBdr>
        <w:top w:val="none" w:sz="0" w:space="0" w:color="auto"/>
        <w:left w:val="none" w:sz="0" w:space="0" w:color="auto"/>
        <w:bottom w:val="none" w:sz="0" w:space="0" w:color="auto"/>
        <w:right w:val="none" w:sz="0" w:space="0" w:color="auto"/>
      </w:divBdr>
      <w:divsChild>
        <w:div w:id="1806000162">
          <w:marLeft w:val="547"/>
          <w:marRight w:val="0"/>
          <w:marTop w:val="144"/>
          <w:marBottom w:val="0"/>
          <w:divBdr>
            <w:top w:val="none" w:sz="0" w:space="0" w:color="auto"/>
            <w:left w:val="none" w:sz="0" w:space="0" w:color="auto"/>
            <w:bottom w:val="none" w:sz="0" w:space="0" w:color="auto"/>
            <w:right w:val="none" w:sz="0" w:space="0" w:color="auto"/>
          </w:divBdr>
        </w:div>
        <w:div w:id="1813711669">
          <w:marLeft w:val="1714"/>
          <w:marRight w:val="0"/>
          <w:marTop w:val="106"/>
          <w:marBottom w:val="0"/>
          <w:divBdr>
            <w:top w:val="none" w:sz="0" w:space="0" w:color="auto"/>
            <w:left w:val="none" w:sz="0" w:space="0" w:color="auto"/>
            <w:bottom w:val="none" w:sz="0" w:space="0" w:color="auto"/>
            <w:right w:val="none" w:sz="0" w:space="0" w:color="auto"/>
          </w:divBdr>
        </w:div>
        <w:div w:id="1449931509">
          <w:marLeft w:val="1714"/>
          <w:marRight w:val="0"/>
          <w:marTop w:val="106"/>
          <w:marBottom w:val="0"/>
          <w:divBdr>
            <w:top w:val="none" w:sz="0" w:space="0" w:color="auto"/>
            <w:left w:val="none" w:sz="0" w:space="0" w:color="auto"/>
            <w:bottom w:val="none" w:sz="0" w:space="0" w:color="auto"/>
            <w:right w:val="none" w:sz="0" w:space="0" w:color="auto"/>
          </w:divBdr>
        </w:div>
        <w:div w:id="365714225">
          <w:marLeft w:val="547"/>
          <w:marRight w:val="0"/>
          <w:marTop w:val="144"/>
          <w:marBottom w:val="0"/>
          <w:divBdr>
            <w:top w:val="none" w:sz="0" w:space="0" w:color="auto"/>
            <w:left w:val="none" w:sz="0" w:space="0" w:color="auto"/>
            <w:bottom w:val="none" w:sz="0" w:space="0" w:color="auto"/>
            <w:right w:val="none" w:sz="0" w:space="0" w:color="auto"/>
          </w:divBdr>
        </w:div>
      </w:divsChild>
    </w:div>
    <w:div w:id="214423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A18AD-5518-4660-BC55-29B729D5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5</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39</cp:revision>
  <dcterms:created xsi:type="dcterms:W3CDTF">2018-03-26T10:33:00Z</dcterms:created>
  <dcterms:modified xsi:type="dcterms:W3CDTF">2019-02-15T13:19:00Z</dcterms:modified>
</cp:coreProperties>
</file>